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94B8FE" w14:textId="3E911CC7" w:rsidR="00F5731E" w:rsidRDefault="00256A2F" w:rsidP="0086223D">
      <w:pPr>
        <w:jc w:val="both"/>
        <w:rPr>
          <w:b/>
          <w:bCs/>
        </w:rPr>
      </w:pPr>
      <w:bookmarkStart w:id="0" w:name="OLE_LINK19"/>
      <w:bookmarkStart w:id="1" w:name="OLE_LINK30"/>
      <w:r w:rsidRPr="00F233E9">
        <w:rPr>
          <w:b/>
          <w:bCs/>
        </w:rPr>
        <w:t>SUPPLEMENTAL FIGURES LEGEND</w:t>
      </w:r>
      <w:r w:rsidR="009B677D">
        <w:rPr>
          <w:b/>
          <w:bCs/>
        </w:rPr>
        <w:t>S</w:t>
      </w:r>
      <w:r w:rsidRPr="00F233E9">
        <w:rPr>
          <w:b/>
          <w:bCs/>
        </w:rPr>
        <w:t>:</w:t>
      </w:r>
    </w:p>
    <w:p w14:paraId="6009E40B" w14:textId="77777777" w:rsidR="00E16E35" w:rsidRDefault="00E16E35" w:rsidP="0086223D">
      <w:pPr>
        <w:jc w:val="both"/>
        <w:rPr>
          <w:b/>
          <w:bCs/>
        </w:rPr>
      </w:pPr>
    </w:p>
    <w:p w14:paraId="44B4E109" w14:textId="5C5F5EBB" w:rsidR="009B677D" w:rsidRPr="00F233E9" w:rsidRDefault="00E16E35" w:rsidP="0086223D">
      <w:pPr>
        <w:jc w:val="both"/>
        <w:rPr>
          <w:b/>
          <w:bCs/>
        </w:rPr>
      </w:pPr>
      <w:r>
        <w:rPr>
          <w:b/>
          <w:bCs/>
          <w:noProof/>
          <w14:ligatures w14:val="standardContextual"/>
        </w:rPr>
        <w:drawing>
          <wp:inline distT="0" distB="0" distL="0" distR="0" wp14:anchorId="51C20061" wp14:editId="203579DF">
            <wp:extent cx="5943600" cy="343217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upplementary_Figure_S1.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3432175"/>
                    </a:xfrm>
                    <a:prstGeom prst="rect">
                      <a:avLst/>
                    </a:prstGeom>
                  </pic:spPr>
                </pic:pic>
              </a:graphicData>
            </a:graphic>
          </wp:inline>
        </w:drawing>
      </w:r>
    </w:p>
    <w:p w14:paraId="51B6036E" w14:textId="06604D44" w:rsidR="00C16CB5" w:rsidRPr="003E4A26" w:rsidRDefault="00C16CB5" w:rsidP="0086223D">
      <w:pPr>
        <w:jc w:val="both"/>
        <w:rPr>
          <w:color w:val="000000" w:themeColor="text1"/>
        </w:rPr>
      </w:pPr>
      <w:r w:rsidRPr="003E4A26">
        <w:rPr>
          <w:b/>
          <w:bCs/>
          <w:color w:val="000000" w:themeColor="text1"/>
        </w:rPr>
        <w:t>Supplementary Fig</w:t>
      </w:r>
      <w:r w:rsidR="002221EF">
        <w:rPr>
          <w:rFonts w:eastAsiaTheme="minorEastAsia" w:hint="eastAsia"/>
          <w:b/>
          <w:bCs/>
          <w:color w:val="000000" w:themeColor="text1"/>
          <w:lang w:eastAsia="zh-CN"/>
        </w:rPr>
        <w:t xml:space="preserve">. </w:t>
      </w:r>
      <w:r w:rsidRPr="003E4A26">
        <w:rPr>
          <w:b/>
          <w:bCs/>
          <w:color w:val="000000" w:themeColor="text1"/>
        </w:rPr>
        <w:t>1.</w:t>
      </w:r>
      <w:r w:rsidRPr="003E4A26">
        <w:rPr>
          <w:color w:val="000000" w:themeColor="text1"/>
        </w:rPr>
        <w:t xml:space="preserve"> S</w:t>
      </w:r>
      <w:r w:rsidR="00637D9C" w:rsidRPr="003E4A26">
        <w:rPr>
          <w:color w:val="000000" w:themeColor="text1"/>
        </w:rPr>
        <w:t>tructured</w:t>
      </w:r>
      <w:r w:rsidRPr="003E4A26">
        <w:rPr>
          <w:color w:val="000000" w:themeColor="text1"/>
        </w:rPr>
        <w:t xml:space="preserve"> Literature Mining of Cytokine Evidence in Bone Marrow Failure Syndromes.</w:t>
      </w:r>
    </w:p>
    <w:p w14:paraId="47879C7B" w14:textId="41A93198" w:rsidR="00C16CB5" w:rsidRPr="00F233E9" w:rsidRDefault="00C16CB5" w:rsidP="0086223D">
      <w:pPr>
        <w:jc w:val="both"/>
        <w:rPr>
          <w:color w:val="000000" w:themeColor="text1"/>
        </w:rPr>
      </w:pPr>
      <w:r w:rsidRPr="003E4A26">
        <w:rPr>
          <w:color w:val="000000" w:themeColor="text1"/>
        </w:rPr>
        <w:t xml:space="preserve">Two-stream flow diagram illustrating record identification, screening, and inclusion for the </w:t>
      </w:r>
      <w:r w:rsidR="00980CC9" w:rsidRPr="003E4A26">
        <w:t xml:space="preserve">cytokine-disease stream (left, blue) </w:t>
      </w:r>
      <w:r w:rsidRPr="003E4A26">
        <w:rPr>
          <w:color w:val="000000" w:themeColor="text1"/>
        </w:rPr>
        <w:t xml:space="preserve">and therapeutic corpus (right stream, orange). </w:t>
      </w:r>
      <w:r w:rsidR="00980CC9" w:rsidRPr="003E4A26">
        <w:t>Cytokine-disease stream:</w:t>
      </w:r>
      <w:r w:rsidRPr="003E4A26">
        <w:rPr>
          <w:color w:val="000000" w:themeColor="text1"/>
        </w:rPr>
        <w:t xml:space="preserve"> 70 predefined disease-cytokine queries executed via the NCBI E-utilities API (10 diseases × 7 cytokines; search date January 26, 2026) identified 4,380 total raw records (sum of per-query </w:t>
      </w:r>
      <w:proofErr w:type="spellStart"/>
      <w:r w:rsidRPr="003E4A26">
        <w:rPr>
          <w:color w:val="000000" w:themeColor="text1"/>
        </w:rPr>
        <w:t>retmax</w:t>
      </w:r>
      <w:proofErr w:type="spellEnd"/>
      <w:r w:rsidRPr="003E4A26">
        <w:rPr>
          <w:color w:val="000000" w:themeColor="text1"/>
        </w:rPr>
        <w:t xml:space="preserve">=0 counts, including cross-query duplicates). After automated eligibility screening, 1,565 deduplicated unique PMIDs were retained for the final cytokine-disease corpus. Per-category exclusion counts were not logged during automated retrieval; total excluded records = 2,815. Right stream: a separate publication-type-filtered query stream (clinical </w:t>
      </w:r>
      <w:r w:rsidR="00980CC9" w:rsidRPr="003E4A26">
        <w:rPr>
          <w:color w:val="000000" w:themeColor="text1"/>
        </w:rPr>
        <w:t>trial [</w:t>
      </w:r>
      <w:r w:rsidRPr="003E4A26">
        <w:rPr>
          <w:color w:val="000000" w:themeColor="text1"/>
        </w:rPr>
        <w:t>Publication Type] filter applied) identified</w:t>
      </w:r>
      <w:r w:rsidRPr="00F233E9">
        <w:rPr>
          <w:color w:val="000000" w:themeColor="text1"/>
        </w:rPr>
        <w:t xml:space="preserve"> 2,838 efficacy-filtered therapeutic studies across 9 of 10 disease entities. </w:t>
      </w:r>
      <w:r w:rsidR="009022BC" w:rsidRPr="00F233E9">
        <w:t>A high-priority subset of 115 trials was pre-filtered by automated keyword criteria (Phase II/III, published ≥2015, outcome keywords in title); 57 were confirmed BMF-relevant after manual exclusion of non-BMF false positives (</w:t>
      </w:r>
      <w:r w:rsidR="002221EF">
        <w:t xml:space="preserve">Supplementary Table </w:t>
      </w:r>
      <w:r w:rsidR="009022BC" w:rsidRPr="00F233E9">
        <w:t>7)</w:t>
      </w:r>
      <w:r w:rsidRPr="00F233E9">
        <w:rPr>
          <w:color w:val="000000" w:themeColor="text1"/>
        </w:rPr>
        <w:t>. Phase and design classification are based on title-keyword extraction only. TBD = Telomere Biology Disorders (excluded from therapeutic and gene-outcome analyses; zero qualifying records across all cytokine queries). Search executed January 26, 2026; temporal analyses restricted to publications through December 2025.</w:t>
      </w:r>
    </w:p>
    <w:p w14:paraId="446C3A84" w14:textId="2FA4D481" w:rsidR="00C16CB5" w:rsidRDefault="00C16CB5" w:rsidP="0086223D">
      <w:pPr>
        <w:jc w:val="both"/>
        <w:rPr>
          <w:color w:val="000000" w:themeColor="text1"/>
        </w:rPr>
      </w:pPr>
    </w:p>
    <w:p w14:paraId="61793433" w14:textId="4E388604" w:rsidR="00E16E35" w:rsidRPr="00F233E9" w:rsidRDefault="00E16E35" w:rsidP="0086223D">
      <w:pPr>
        <w:jc w:val="both"/>
        <w:rPr>
          <w:color w:val="000000" w:themeColor="text1"/>
        </w:rPr>
      </w:pPr>
      <w:r>
        <w:rPr>
          <w:noProof/>
          <w:color w:val="000000" w:themeColor="text1"/>
          <w14:ligatures w14:val="standardContextual"/>
        </w:rPr>
        <w:lastRenderedPageBreak/>
        <w:drawing>
          <wp:inline distT="0" distB="0" distL="0" distR="0" wp14:anchorId="697A1D2C" wp14:editId="4D6F3B59">
            <wp:extent cx="5943600" cy="426974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upplementary_Figure_S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4269740"/>
                    </a:xfrm>
                    <a:prstGeom prst="rect">
                      <a:avLst/>
                    </a:prstGeom>
                  </pic:spPr>
                </pic:pic>
              </a:graphicData>
            </a:graphic>
          </wp:inline>
        </w:drawing>
      </w:r>
    </w:p>
    <w:p w14:paraId="68A25D12" w14:textId="53424846" w:rsidR="00256A2F" w:rsidRPr="00F233E9" w:rsidRDefault="002221EF" w:rsidP="0086223D">
      <w:pPr>
        <w:jc w:val="both"/>
        <w:rPr>
          <w:color w:val="000000" w:themeColor="text1"/>
        </w:rPr>
      </w:pPr>
      <w:r>
        <w:rPr>
          <w:b/>
          <w:bCs/>
          <w:color w:val="000000" w:themeColor="text1"/>
        </w:rPr>
        <w:t xml:space="preserve">Supplementary Fig. </w:t>
      </w:r>
      <w:r w:rsidR="00E754C1" w:rsidRPr="009B677D">
        <w:rPr>
          <w:b/>
          <w:bCs/>
          <w:color w:val="000000" w:themeColor="text1"/>
        </w:rPr>
        <w:t>2</w:t>
      </w:r>
      <w:r w:rsidR="00256A2F" w:rsidRPr="009B677D">
        <w:rPr>
          <w:b/>
          <w:bCs/>
          <w:color w:val="000000" w:themeColor="text1"/>
        </w:rPr>
        <w:t>.</w:t>
      </w:r>
      <w:r w:rsidR="00256A2F" w:rsidRPr="00F233E9">
        <w:rPr>
          <w:color w:val="000000" w:themeColor="text1"/>
        </w:rPr>
        <w:t xml:space="preserve"> Cytokine Co‑Reporting Network Architecture</w:t>
      </w:r>
    </w:p>
    <w:p w14:paraId="37D97D9E" w14:textId="0CBBD0DD" w:rsidR="00256A2F" w:rsidRPr="00F233E9" w:rsidRDefault="00256A2F" w:rsidP="0086223D">
      <w:pPr>
        <w:jc w:val="both"/>
        <w:rPr>
          <w:color w:val="000000" w:themeColor="text1"/>
        </w:rPr>
      </w:pPr>
      <w:r w:rsidRPr="00F233E9">
        <w:rPr>
          <w:color w:val="000000" w:themeColor="text1"/>
        </w:rPr>
        <w:t xml:space="preserve">Weighted, undirected network of cytokine co‑reporting </w:t>
      </w:r>
      <w:r w:rsidR="00926D9C" w:rsidRPr="00F233E9">
        <w:t>across the cytokine-disease corpus (1,565 deduplicated studies; cytokine co-occurrence pairs extracted across all seven panel members)</w:t>
      </w:r>
      <w:r w:rsidRPr="00F233E9">
        <w:rPr>
          <w:color w:val="000000" w:themeColor="text1"/>
        </w:rPr>
        <w:t>. Node size reflects publication count; edge thickness denotes co‑reporting frequency. IFN‑γ, TNF‑α, and IL‑6 form a dense central hub; TGF‑β bridges to fibrotic programs; IL‑1β and IL‑17 occupy peripheries; IL‑8 show</w:t>
      </w:r>
      <w:r w:rsidR="0068472E" w:rsidRPr="00F233E9">
        <w:rPr>
          <w:color w:val="000000" w:themeColor="text1"/>
        </w:rPr>
        <w:t>s</w:t>
      </w:r>
      <w:r w:rsidRPr="00F233E9">
        <w:rPr>
          <w:color w:val="000000" w:themeColor="text1"/>
        </w:rPr>
        <w:t xml:space="preserve"> selective, low‑volume connections. </w:t>
      </w:r>
      <w:r w:rsidR="0068472E" w:rsidRPr="00F233E9">
        <w:t>Network metrics confirm a complete graph (density = 1.0), indicating that all seven cytokines show measurable co-reporting with every other member of the panel across the BMF literature corpus</w:t>
      </w:r>
      <w:r w:rsidRPr="00F233E9">
        <w:rPr>
          <w:color w:val="000000" w:themeColor="text1"/>
        </w:rPr>
        <w:t>.</w:t>
      </w:r>
    </w:p>
    <w:p w14:paraId="2DB4D677" w14:textId="3F4492E2" w:rsidR="00256A2F" w:rsidRDefault="00256A2F" w:rsidP="0086223D">
      <w:pPr>
        <w:jc w:val="both"/>
        <w:rPr>
          <w:color w:val="000000" w:themeColor="text1"/>
        </w:rPr>
      </w:pPr>
    </w:p>
    <w:p w14:paraId="44C3C1DE" w14:textId="533F5634" w:rsidR="00E16E35" w:rsidRPr="00F233E9" w:rsidRDefault="00E16E35" w:rsidP="0086223D">
      <w:pPr>
        <w:jc w:val="both"/>
        <w:rPr>
          <w:color w:val="000000" w:themeColor="text1"/>
        </w:rPr>
      </w:pPr>
      <w:r>
        <w:rPr>
          <w:noProof/>
          <w:color w:val="000000" w:themeColor="text1"/>
          <w14:ligatures w14:val="standardContextual"/>
        </w:rPr>
        <w:lastRenderedPageBreak/>
        <w:drawing>
          <wp:inline distT="0" distB="0" distL="0" distR="0" wp14:anchorId="3FDAFD1B" wp14:editId="43A508A0">
            <wp:extent cx="5943600" cy="350647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upplementary_Figure_S3.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506470"/>
                    </a:xfrm>
                    <a:prstGeom prst="rect">
                      <a:avLst/>
                    </a:prstGeom>
                  </pic:spPr>
                </pic:pic>
              </a:graphicData>
            </a:graphic>
          </wp:inline>
        </w:drawing>
      </w:r>
    </w:p>
    <w:p w14:paraId="365A825F" w14:textId="6F2CF18E" w:rsidR="008B1A43" w:rsidRPr="00F233E9" w:rsidRDefault="002221EF" w:rsidP="0086223D">
      <w:pPr>
        <w:jc w:val="both"/>
        <w:rPr>
          <w:color w:val="000000" w:themeColor="text1"/>
        </w:rPr>
      </w:pPr>
      <w:r>
        <w:rPr>
          <w:b/>
          <w:bCs/>
          <w:color w:val="000000" w:themeColor="text1"/>
        </w:rPr>
        <w:t xml:space="preserve">Supplementary Fig. </w:t>
      </w:r>
      <w:r w:rsidR="00E754C1" w:rsidRPr="009B677D">
        <w:rPr>
          <w:b/>
          <w:bCs/>
          <w:color w:val="000000" w:themeColor="text1"/>
        </w:rPr>
        <w:t>3</w:t>
      </w:r>
      <w:r w:rsidR="008B1A43" w:rsidRPr="009B677D">
        <w:rPr>
          <w:b/>
          <w:bCs/>
          <w:color w:val="000000" w:themeColor="text1"/>
        </w:rPr>
        <w:t>.</w:t>
      </w:r>
      <w:r w:rsidR="008B1A43" w:rsidRPr="00F233E9">
        <w:rPr>
          <w:color w:val="000000" w:themeColor="text1"/>
        </w:rPr>
        <w:t xml:space="preserve"> Temporal Evolution of Cytokine Research in Bone Marrow Failure Syndromes. Line plot showing annual deduplicated publication counts for cytokine-focused studies per disease entity from 2000 to 2025</w:t>
      </w:r>
      <w:r w:rsidR="00676977" w:rsidRPr="00F233E9">
        <w:rPr>
          <w:color w:val="000000" w:themeColor="text1"/>
        </w:rPr>
        <w:t>.</w:t>
      </w:r>
      <w:r w:rsidR="008B1A43" w:rsidRPr="00F233E9">
        <w:rPr>
          <w:color w:val="000000" w:themeColor="text1"/>
        </w:rPr>
        <w:t xml:space="preserve"> Each line represents one of nine disease entities; colors correspond to the legend. The y-axis reflects annual publication count (deduplicated PMIDs) per disease-cytokine corpus; counts are summed across all seven cytokines per disease per year.</w:t>
      </w:r>
    </w:p>
    <w:p w14:paraId="494847C5" w14:textId="6175E2EF" w:rsidR="008B1A43" w:rsidRPr="00F233E9" w:rsidRDefault="008B1A43" w:rsidP="0086223D">
      <w:pPr>
        <w:jc w:val="both"/>
        <w:rPr>
          <w:color w:val="000000" w:themeColor="text1"/>
        </w:rPr>
      </w:pPr>
      <w:r w:rsidRPr="00F233E9">
        <w:rPr>
          <w:color w:val="000000" w:themeColor="text1"/>
        </w:rPr>
        <w:t>IFN-γ and TNF-α studies in aplastic anemia (AA) predominated in the earliest period (198</w:t>
      </w:r>
      <w:r w:rsidR="0068472E" w:rsidRPr="00F233E9">
        <w:rPr>
          <w:color w:val="000000" w:themeColor="text1"/>
        </w:rPr>
        <w:t>3</w:t>
      </w:r>
      <w:r w:rsidRPr="00F233E9">
        <w:rPr>
          <w:color w:val="000000" w:themeColor="text1"/>
        </w:rPr>
        <w:t xml:space="preserve">–2000), predating the molecular characterization of most inherited BMF genes. </w:t>
      </w:r>
      <w:r w:rsidR="0068472E" w:rsidRPr="00F233E9">
        <w:t xml:space="preserve">The figure displays 2000-2025; pre-2000 studies are included in the total corpus but not plotted in this panel. </w:t>
      </w:r>
      <w:r w:rsidRPr="00F233E9">
        <w:rPr>
          <w:color w:val="000000" w:themeColor="text1"/>
        </w:rPr>
        <w:t>Cytokine research across all entities expanded substantially after 2000, with approximately 6</w:t>
      </w:r>
      <w:r w:rsidR="00A9438D" w:rsidRPr="00F233E9">
        <w:rPr>
          <w:color w:val="000000" w:themeColor="text1"/>
        </w:rPr>
        <w:t>4.</w:t>
      </w:r>
      <w:r w:rsidRPr="00F233E9">
        <w:rPr>
          <w:color w:val="000000" w:themeColor="text1"/>
        </w:rPr>
        <w:t xml:space="preserve">5% of all corpus publications dated after 2010, coinciding with </w:t>
      </w:r>
      <w:r w:rsidR="00676977" w:rsidRPr="00F233E9">
        <w:rPr>
          <w:color w:val="000000" w:themeColor="text1"/>
        </w:rPr>
        <w:t xml:space="preserve">the </w:t>
      </w:r>
      <w:r w:rsidRPr="00F233E9">
        <w:rPr>
          <w:color w:val="000000" w:themeColor="text1"/>
        </w:rPr>
        <w:t xml:space="preserve">widespread adoption of multiplex cytokine assays and single-cell </w:t>
      </w:r>
      <w:proofErr w:type="spellStart"/>
      <w:r w:rsidRPr="00F233E9">
        <w:rPr>
          <w:color w:val="000000" w:themeColor="text1"/>
        </w:rPr>
        <w:t>immunoprofiling</w:t>
      </w:r>
      <w:proofErr w:type="spellEnd"/>
      <w:r w:rsidRPr="00F233E9">
        <w:rPr>
          <w:color w:val="000000" w:themeColor="text1"/>
        </w:rPr>
        <w:t xml:space="preserve"> technologies. MPN and MF cytokine studies increased markedly following the identification of the </w:t>
      </w:r>
      <w:r w:rsidRPr="00F233E9">
        <w:rPr>
          <w:i/>
          <w:iCs/>
          <w:color w:val="000000" w:themeColor="text1"/>
        </w:rPr>
        <w:t>JAK2</w:t>
      </w:r>
      <w:r w:rsidRPr="00F233E9">
        <w:rPr>
          <w:color w:val="000000" w:themeColor="text1"/>
        </w:rPr>
        <w:t xml:space="preserve"> V617F mutation in 2005. Inherited BMF syndrome cytokine research (FA, DBA, DKC, SDS, SCN) showed only modest growth throughout the observation period, consistent with the persistent underrepresentation of these entities in the inflammatory BMF literature.</w:t>
      </w:r>
    </w:p>
    <w:bookmarkEnd w:id="1"/>
    <w:p w14:paraId="0620CF0B" w14:textId="2D48C841" w:rsidR="00256A2F" w:rsidRDefault="00256A2F" w:rsidP="0086223D">
      <w:pPr>
        <w:jc w:val="both"/>
        <w:rPr>
          <w:color w:val="000000" w:themeColor="text1"/>
        </w:rPr>
      </w:pPr>
    </w:p>
    <w:p w14:paraId="5C372F31" w14:textId="28EA40AE" w:rsidR="00E16E35" w:rsidRPr="00F233E9" w:rsidRDefault="00E16E35" w:rsidP="0086223D">
      <w:pPr>
        <w:jc w:val="both"/>
        <w:rPr>
          <w:color w:val="000000" w:themeColor="text1"/>
        </w:rPr>
      </w:pPr>
      <w:r>
        <w:rPr>
          <w:noProof/>
          <w:color w:val="000000" w:themeColor="text1"/>
          <w14:ligatures w14:val="standardContextual"/>
        </w:rPr>
        <w:lastRenderedPageBreak/>
        <w:drawing>
          <wp:inline distT="0" distB="0" distL="0" distR="0" wp14:anchorId="3DC01CDE" wp14:editId="24C3999C">
            <wp:extent cx="5943600" cy="3991610"/>
            <wp:effectExtent l="0" t="0" r="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upplementary_Figure_S4.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3991610"/>
                    </a:xfrm>
                    <a:prstGeom prst="rect">
                      <a:avLst/>
                    </a:prstGeom>
                  </pic:spPr>
                </pic:pic>
              </a:graphicData>
            </a:graphic>
          </wp:inline>
        </w:drawing>
      </w:r>
    </w:p>
    <w:p w14:paraId="33B39491" w14:textId="57F07FF9" w:rsidR="00256A2F" w:rsidRPr="00F233E9" w:rsidRDefault="002221EF" w:rsidP="0086223D">
      <w:pPr>
        <w:jc w:val="both"/>
        <w:rPr>
          <w:color w:val="000000" w:themeColor="text1"/>
        </w:rPr>
      </w:pPr>
      <w:bookmarkStart w:id="2" w:name="OLE_LINK31"/>
      <w:r>
        <w:rPr>
          <w:b/>
          <w:bCs/>
          <w:color w:val="000000" w:themeColor="text1"/>
        </w:rPr>
        <w:t xml:space="preserve">Supplementary Fig. </w:t>
      </w:r>
      <w:r w:rsidR="00E754C1" w:rsidRPr="009B677D">
        <w:rPr>
          <w:b/>
          <w:bCs/>
          <w:color w:val="000000" w:themeColor="text1"/>
        </w:rPr>
        <w:t>4</w:t>
      </w:r>
      <w:r w:rsidR="00256A2F" w:rsidRPr="009B677D">
        <w:rPr>
          <w:b/>
          <w:bCs/>
          <w:color w:val="000000" w:themeColor="text1"/>
        </w:rPr>
        <w:t>.</w:t>
      </w:r>
      <w:r w:rsidR="00256A2F" w:rsidRPr="00F233E9">
        <w:rPr>
          <w:color w:val="000000" w:themeColor="text1"/>
        </w:rPr>
        <w:t xml:space="preserve"> Translational Gap Analysis: Mechanistic Evidence Versus Clinical Targeting</w:t>
      </w:r>
    </w:p>
    <w:p w14:paraId="0B5741AA" w14:textId="0CDBCB0C" w:rsidR="00256A2F" w:rsidRPr="00F233E9" w:rsidRDefault="00256A2F" w:rsidP="0086223D">
      <w:pPr>
        <w:jc w:val="both"/>
        <w:rPr>
          <w:color w:val="000000" w:themeColor="text1"/>
        </w:rPr>
      </w:pPr>
      <w:r w:rsidRPr="00F233E9">
        <w:rPr>
          <w:color w:val="000000" w:themeColor="text1"/>
        </w:rPr>
        <w:t xml:space="preserve">Comparative visualization contrasting mechanistic publication density with clinical development maturity for seven cytokine axes across ten BMF entities. </w:t>
      </w:r>
      <w:r w:rsidR="00236246" w:rsidRPr="00F233E9">
        <w:t>TNF-α, IL-6, IFN-γ, IL-1β, and TGF-β have agents in clinical use or approved trials (</w:t>
      </w:r>
      <w:proofErr w:type="spellStart"/>
      <w:r w:rsidR="00236246" w:rsidRPr="00F233E9">
        <w:t>luspatercept</w:t>
      </w:r>
      <w:proofErr w:type="spellEnd"/>
      <w:r w:rsidR="00236246" w:rsidRPr="00F233E9">
        <w:t xml:space="preserve"> for TGF-β); IL-8 and IL-17 remain clinically underdeveloped despite mechanistic evidence.</w:t>
      </w:r>
      <w:r w:rsidR="00A649D5" w:rsidRPr="00F233E9">
        <w:t xml:space="preserve"> </w:t>
      </w:r>
      <w:r w:rsidRPr="00F233E9">
        <w:rPr>
          <w:color w:val="000000" w:themeColor="text1"/>
        </w:rPr>
        <w:t xml:space="preserve">Strategy maturity maps highlight substantial underinvestment in inherited BMF syndromes and identify </w:t>
      </w:r>
      <w:r w:rsidR="00262FD2" w:rsidRPr="00F233E9">
        <w:t>IL-8 and IL-17 antagonism as key unmet therapeutic opportunities, while TGF-β modulation represents a partially exploited axis with ongoing clinical development (</w:t>
      </w:r>
      <w:proofErr w:type="spellStart"/>
      <w:r w:rsidR="00262FD2" w:rsidRPr="00F233E9">
        <w:t>luspatercept</w:t>
      </w:r>
      <w:proofErr w:type="spellEnd"/>
      <w:r w:rsidR="00262FD2" w:rsidRPr="00F233E9">
        <w:t xml:space="preserve">, </w:t>
      </w:r>
      <w:proofErr w:type="spellStart"/>
      <w:r w:rsidR="00262FD2" w:rsidRPr="00F233E9">
        <w:t>sotatercept</w:t>
      </w:r>
      <w:proofErr w:type="spellEnd"/>
      <w:r w:rsidR="00262FD2" w:rsidRPr="00F233E9">
        <w:t>)</w:t>
      </w:r>
      <w:r w:rsidRPr="00F233E9">
        <w:rPr>
          <w:color w:val="000000" w:themeColor="text1"/>
        </w:rPr>
        <w:t>.</w:t>
      </w:r>
    </w:p>
    <w:p w14:paraId="2D7ED912" w14:textId="7EE8C23F" w:rsidR="00256A2F" w:rsidRDefault="00256A2F" w:rsidP="0086223D">
      <w:pPr>
        <w:jc w:val="both"/>
        <w:rPr>
          <w:color w:val="000000" w:themeColor="text1"/>
        </w:rPr>
      </w:pPr>
    </w:p>
    <w:p w14:paraId="4270DD27" w14:textId="15EA530C" w:rsidR="00E16E35" w:rsidRPr="00F233E9" w:rsidRDefault="00E16E35" w:rsidP="0086223D">
      <w:pPr>
        <w:jc w:val="both"/>
        <w:rPr>
          <w:color w:val="000000" w:themeColor="text1"/>
        </w:rPr>
      </w:pPr>
      <w:r>
        <w:rPr>
          <w:noProof/>
          <w:color w:val="000000" w:themeColor="text1"/>
          <w14:ligatures w14:val="standardContextual"/>
        </w:rPr>
        <w:lastRenderedPageBreak/>
        <w:drawing>
          <wp:inline distT="0" distB="0" distL="0" distR="0" wp14:anchorId="5980B811" wp14:editId="3FBE1C47">
            <wp:extent cx="5943600" cy="3249930"/>
            <wp:effectExtent l="0" t="0" r="0" b="762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upplementary_Figure_S5.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3249930"/>
                    </a:xfrm>
                    <a:prstGeom prst="rect">
                      <a:avLst/>
                    </a:prstGeom>
                  </pic:spPr>
                </pic:pic>
              </a:graphicData>
            </a:graphic>
          </wp:inline>
        </w:drawing>
      </w:r>
    </w:p>
    <w:p w14:paraId="275D1063" w14:textId="4AB97C0C" w:rsidR="00C2205E" w:rsidRPr="00F233E9" w:rsidRDefault="002221EF" w:rsidP="0086223D">
      <w:pPr>
        <w:jc w:val="both"/>
        <w:rPr>
          <w:color w:val="000000" w:themeColor="text1"/>
        </w:rPr>
      </w:pPr>
      <w:r>
        <w:rPr>
          <w:b/>
          <w:bCs/>
          <w:color w:val="000000" w:themeColor="text1"/>
        </w:rPr>
        <w:t xml:space="preserve">Supplementary Fig. </w:t>
      </w:r>
      <w:r w:rsidR="00E754C1" w:rsidRPr="00F233E9">
        <w:rPr>
          <w:b/>
          <w:bCs/>
          <w:color w:val="000000" w:themeColor="text1"/>
        </w:rPr>
        <w:t>5</w:t>
      </w:r>
      <w:r w:rsidR="00C2205E" w:rsidRPr="00F233E9">
        <w:rPr>
          <w:color w:val="000000" w:themeColor="text1"/>
        </w:rPr>
        <w:t>. Disease-Specific Inflammation-Gene-Outcome Networks: Inherited BMF Syndromes and Extended Disease Panels (Germline → Cytokine → Somatic → Outcome Ordering).</w:t>
      </w:r>
    </w:p>
    <w:p w14:paraId="384A6D86" w14:textId="039E8E7B" w:rsidR="00C2205E" w:rsidRPr="00F233E9" w:rsidRDefault="00C2205E" w:rsidP="0086223D">
      <w:pPr>
        <w:jc w:val="both"/>
        <w:rPr>
          <w:color w:val="000000" w:themeColor="text1"/>
        </w:rPr>
      </w:pPr>
      <w:r w:rsidRPr="00F233E9">
        <w:rPr>
          <w:color w:val="000000" w:themeColor="text1"/>
        </w:rPr>
        <w:t>Sankey flow diagrams depicting high-confidence co-occurrence chains linking germline gene context, inflammatory cytokines, somatic genetic drivers, and hematopoietic outcomes. Node ordering follows a germline → cytokine → somatic → outcome sequence, positioning cytokines as intermediary nodes between germline predisposition and somatic secondary events. Flow width is proportional to composite evidence score (unweighted mean of log-normalized cytokine-disease, cytokine-gene, and gene-outcome co-occurrence counts). Only chains meeting dual inclusion thresholds (≥10 deduplicated publications per disease-cytokine pair; ≥5 per cytokine-gene pair) are shown. Evidence Score y-axes are independently scaled per panel; cross-panel comparisons of absolute scores should not be made.</w:t>
      </w:r>
    </w:p>
    <w:p w14:paraId="18F7C37D" w14:textId="3B504AAD" w:rsidR="00663A14" w:rsidRDefault="00C2205E" w:rsidP="0086223D">
      <w:pPr>
        <w:jc w:val="both"/>
      </w:pPr>
      <w:r w:rsidRPr="00F233E9">
        <w:rPr>
          <w:color w:val="000000" w:themeColor="text1"/>
        </w:rPr>
        <w:t xml:space="preserve">Panels A-C show inherited BMF syndromes with disease-restricted gene panels: (A) </w:t>
      </w:r>
      <w:proofErr w:type="spellStart"/>
      <w:r w:rsidRPr="00F233E9">
        <w:rPr>
          <w:color w:val="000000" w:themeColor="text1"/>
        </w:rPr>
        <w:t>Shwachman</w:t>
      </w:r>
      <w:proofErr w:type="spellEnd"/>
      <w:r w:rsidRPr="00F233E9">
        <w:rPr>
          <w:color w:val="000000" w:themeColor="text1"/>
        </w:rPr>
        <w:t xml:space="preserve">-Diamond syndrome (SDS) germline genes: </w:t>
      </w:r>
      <w:r w:rsidRPr="00F233E9">
        <w:rPr>
          <w:i/>
          <w:iCs/>
          <w:color w:val="000000" w:themeColor="text1"/>
        </w:rPr>
        <w:t>SBDS</w:t>
      </w:r>
      <w:r w:rsidRPr="00F233E9">
        <w:rPr>
          <w:color w:val="000000" w:themeColor="text1"/>
        </w:rPr>
        <w:t xml:space="preserve">, </w:t>
      </w:r>
      <w:r w:rsidRPr="00F233E9">
        <w:rPr>
          <w:i/>
          <w:iCs/>
          <w:color w:val="000000" w:themeColor="text1"/>
        </w:rPr>
        <w:t>DNAJC21</w:t>
      </w:r>
      <w:r w:rsidRPr="00F233E9">
        <w:rPr>
          <w:color w:val="000000" w:themeColor="text1"/>
        </w:rPr>
        <w:t xml:space="preserve">, </w:t>
      </w:r>
      <w:r w:rsidRPr="00F233E9">
        <w:rPr>
          <w:i/>
          <w:iCs/>
          <w:color w:val="000000" w:themeColor="text1"/>
        </w:rPr>
        <w:t>EFL1</w:t>
      </w:r>
      <w:r w:rsidRPr="00F233E9">
        <w:rPr>
          <w:color w:val="000000" w:themeColor="text1"/>
        </w:rPr>
        <w:t xml:space="preserve">, </w:t>
      </w:r>
      <w:r w:rsidRPr="00F233E9">
        <w:rPr>
          <w:i/>
          <w:iCs/>
          <w:color w:val="000000" w:themeColor="text1"/>
        </w:rPr>
        <w:t>SRP54</w:t>
      </w:r>
      <w:r w:rsidRPr="00F233E9">
        <w:rPr>
          <w:color w:val="000000" w:themeColor="text1"/>
        </w:rPr>
        <w:t>; somatic column restricted to documented secondary events (</w:t>
      </w:r>
      <w:r w:rsidRPr="00F233E9">
        <w:rPr>
          <w:i/>
          <w:iCs/>
          <w:color w:val="000000" w:themeColor="text1"/>
        </w:rPr>
        <w:t>TP53</w:t>
      </w:r>
      <w:r w:rsidRPr="00F233E9">
        <w:rPr>
          <w:color w:val="000000" w:themeColor="text1"/>
        </w:rPr>
        <w:t xml:space="preserve">, </w:t>
      </w:r>
      <w:r w:rsidRPr="00F233E9">
        <w:rPr>
          <w:i/>
          <w:iCs/>
          <w:color w:val="000000" w:themeColor="text1"/>
        </w:rPr>
        <w:t>KRAS</w:t>
      </w:r>
      <w:r w:rsidRPr="00F233E9">
        <w:rPr>
          <w:color w:val="000000" w:themeColor="text1"/>
        </w:rPr>
        <w:t xml:space="preserve">, </w:t>
      </w:r>
      <w:r w:rsidRPr="00F233E9">
        <w:rPr>
          <w:i/>
          <w:iCs/>
          <w:color w:val="000000" w:themeColor="text1"/>
        </w:rPr>
        <w:t>EIF6</w:t>
      </w:r>
      <w:r w:rsidRPr="00F233E9">
        <w:rPr>
          <w:color w:val="000000" w:themeColor="text1"/>
        </w:rPr>
        <w:t xml:space="preserve">). (B) Dyskeratosis congenita (DKC) germline genes: </w:t>
      </w:r>
      <w:r w:rsidRPr="00F233E9">
        <w:rPr>
          <w:i/>
          <w:iCs/>
          <w:color w:val="000000" w:themeColor="text1"/>
        </w:rPr>
        <w:t>DKC1</w:t>
      </w:r>
      <w:r w:rsidRPr="00F233E9">
        <w:rPr>
          <w:color w:val="000000" w:themeColor="text1"/>
        </w:rPr>
        <w:t xml:space="preserve">, </w:t>
      </w:r>
      <w:r w:rsidRPr="00F233E9">
        <w:rPr>
          <w:i/>
          <w:iCs/>
          <w:color w:val="000000" w:themeColor="text1"/>
        </w:rPr>
        <w:t>TERC</w:t>
      </w:r>
      <w:r w:rsidRPr="00F233E9">
        <w:rPr>
          <w:color w:val="000000" w:themeColor="text1"/>
        </w:rPr>
        <w:t xml:space="preserve">, </w:t>
      </w:r>
      <w:r w:rsidRPr="00F233E9">
        <w:rPr>
          <w:i/>
          <w:iCs/>
          <w:color w:val="000000" w:themeColor="text1"/>
        </w:rPr>
        <w:t>TERT</w:t>
      </w:r>
      <w:r w:rsidRPr="00F233E9">
        <w:rPr>
          <w:color w:val="000000" w:themeColor="text1"/>
        </w:rPr>
        <w:t xml:space="preserve">, </w:t>
      </w:r>
      <w:r w:rsidRPr="00F233E9">
        <w:rPr>
          <w:i/>
          <w:iCs/>
          <w:color w:val="000000" w:themeColor="text1"/>
        </w:rPr>
        <w:t>NHP2</w:t>
      </w:r>
      <w:r w:rsidRPr="00F233E9">
        <w:rPr>
          <w:color w:val="000000" w:themeColor="text1"/>
        </w:rPr>
        <w:t xml:space="preserve">, </w:t>
      </w:r>
      <w:r w:rsidRPr="00F233E9">
        <w:rPr>
          <w:i/>
          <w:iCs/>
          <w:color w:val="000000" w:themeColor="text1"/>
        </w:rPr>
        <w:t>NOP10</w:t>
      </w:r>
      <w:r w:rsidRPr="00F233E9">
        <w:rPr>
          <w:color w:val="000000" w:themeColor="text1"/>
        </w:rPr>
        <w:t xml:space="preserve">, </w:t>
      </w:r>
      <w:r w:rsidRPr="00F233E9">
        <w:rPr>
          <w:i/>
          <w:iCs/>
          <w:color w:val="000000" w:themeColor="text1"/>
        </w:rPr>
        <w:t>RTEL1</w:t>
      </w:r>
      <w:r w:rsidRPr="00F233E9">
        <w:rPr>
          <w:color w:val="000000" w:themeColor="text1"/>
        </w:rPr>
        <w:t xml:space="preserve">, </w:t>
      </w:r>
      <w:r w:rsidRPr="00F233E9">
        <w:rPr>
          <w:i/>
          <w:iCs/>
          <w:color w:val="000000" w:themeColor="text1"/>
        </w:rPr>
        <w:t>PARN</w:t>
      </w:r>
      <w:r w:rsidRPr="00F233E9">
        <w:rPr>
          <w:color w:val="000000" w:themeColor="text1"/>
        </w:rPr>
        <w:t xml:space="preserve">, </w:t>
      </w:r>
      <w:r w:rsidRPr="00F233E9">
        <w:rPr>
          <w:i/>
          <w:iCs/>
          <w:color w:val="000000" w:themeColor="text1"/>
        </w:rPr>
        <w:t>WRAP53</w:t>
      </w:r>
      <w:r w:rsidRPr="00F233E9">
        <w:rPr>
          <w:color w:val="000000" w:themeColor="text1"/>
        </w:rPr>
        <w:t xml:space="preserve">; somatic column restricted to </w:t>
      </w:r>
      <w:r w:rsidRPr="00F233E9">
        <w:rPr>
          <w:i/>
          <w:iCs/>
          <w:color w:val="000000" w:themeColor="text1"/>
        </w:rPr>
        <w:t>TP53</w:t>
      </w:r>
      <w:r w:rsidRPr="00F233E9">
        <w:rPr>
          <w:color w:val="000000" w:themeColor="text1"/>
        </w:rPr>
        <w:t xml:space="preserve"> as documented rare secondary event. (C) Severe congenital neutropenia (SCN) germline genes: </w:t>
      </w:r>
      <w:r w:rsidRPr="00F233E9">
        <w:rPr>
          <w:i/>
          <w:iCs/>
          <w:color w:val="000000" w:themeColor="text1"/>
        </w:rPr>
        <w:t>ELANE</w:t>
      </w:r>
      <w:r w:rsidRPr="00F233E9">
        <w:rPr>
          <w:color w:val="000000" w:themeColor="text1"/>
        </w:rPr>
        <w:t xml:space="preserve">, </w:t>
      </w:r>
      <w:r w:rsidRPr="00F233E9">
        <w:rPr>
          <w:i/>
          <w:iCs/>
          <w:color w:val="000000" w:themeColor="text1"/>
        </w:rPr>
        <w:t>HAX1</w:t>
      </w:r>
      <w:r w:rsidRPr="00F233E9">
        <w:rPr>
          <w:color w:val="000000" w:themeColor="text1"/>
        </w:rPr>
        <w:t xml:space="preserve">, </w:t>
      </w:r>
      <w:r w:rsidRPr="00F233E9">
        <w:rPr>
          <w:i/>
          <w:iCs/>
          <w:color w:val="000000" w:themeColor="text1"/>
        </w:rPr>
        <w:t>G6PC3</w:t>
      </w:r>
      <w:r w:rsidRPr="00F233E9">
        <w:rPr>
          <w:color w:val="000000" w:themeColor="text1"/>
        </w:rPr>
        <w:t xml:space="preserve">, </w:t>
      </w:r>
      <w:r w:rsidRPr="00F233E9">
        <w:rPr>
          <w:i/>
          <w:iCs/>
          <w:color w:val="000000" w:themeColor="text1"/>
        </w:rPr>
        <w:t>GFI1</w:t>
      </w:r>
      <w:r w:rsidRPr="00F233E9">
        <w:rPr>
          <w:color w:val="000000" w:themeColor="text1"/>
        </w:rPr>
        <w:t xml:space="preserve">; somatic column includes </w:t>
      </w:r>
      <w:r w:rsidRPr="00F233E9">
        <w:rPr>
          <w:i/>
          <w:iCs/>
          <w:color w:val="000000" w:themeColor="text1"/>
        </w:rPr>
        <w:t>CSF3R</w:t>
      </w:r>
      <w:r w:rsidRPr="00F233E9">
        <w:rPr>
          <w:color w:val="000000" w:themeColor="text1"/>
        </w:rPr>
        <w:t xml:space="preserve"> and </w:t>
      </w:r>
      <w:r w:rsidRPr="00F233E9">
        <w:rPr>
          <w:i/>
          <w:iCs/>
          <w:color w:val="000000" w:themeColor="text1"/>
        </w:rPr>
        <w:t>TP53</w:t>
      </w:r>
      <w:r w:rsidRPr="00F233E9">
        <w:rPr>
          <w:color w:val="000000" w:themeColor="text1"/>
        </w:rPr>
        <w:t>, which represent the specific alterations acquired during SCN→MDS/AML progression.</w:t>
      </w:r>
      <w:r w:rsidR="005E1A00" w:rsidRPr="00F233E9">
        <w:t xml:space="preserve"> </w:t>
      </w:r>
      <w:r w:rsidR="002221EF">
        <w:t xml:space="preserve">Supplementary Fig. </w:t>
      </w:r>
      <w:r w:rsidR="0084630F" w:rsidRPr="00F233E9">
        <w:t>5</w:t>
      </w:r>
      <w:r w:rsidR="005E1A00" w:rsidRPr="00F233E9">
        <w:t xml:space="preserve"> presents the germline → cytokine → somatic → outcome node ordering for SDS, DKC, and SCN (panels A–C), complementing the main text Sankey diagrams (Fig. 4)</w:t>
      </w:r>
      <w:r w:rsidR="0084630F" w:rsidRPr="00F233E9">
        <w:t>,</w:t>
      </w:r>
      <w:r w:rsidR="005E1A00" w:rsidRPr="00F233E9">
        <w:t xml:space="preserve"> which use the same ordering for AA, FA, DBA, MF, MDS, and MPN. This ordering positions inflammatory cytokines as intermediary nodes between germline predisposition and somatic secondary events, reflecting a pathobiological model in which germline context shapes the inflammatory microenvironment that subsequently selects for somatic alterations. </w:t>
      </w:r>
      <w:r w:rsidR="00663A14" w:rsidRPr="00F233E9">
        <w:t xml:space="preserve">Interactive plots of the same are available at </w:t>
      </w:r>
      <w:hyperlink r:id="rId12" w:history="1">
        <w:r w:rsidR="00663A14" w:rsidRPr="00F233E9">
          <w:rPr>
            <w:rStyle w:val="af3"/>
          </w:rPr>
          <w:t>https://sbeesett.github.io/Disease-Sunburst/</w:t>
        </w:r>
      </w:hyperlink>
    </w:p>
    <w:p w14:paraId="231C4D9E" w14:textId="77777777" w:rsidR="00663A14" w:rsidRDefault="00663A14" w:rsidP="0086223D">
      <w:pPr>
        <w:jc w:val="both"/>
      </w:pPr>
    </w:p>
    <w:p w14:paraId="3AC3D6AB" w14:textId="77777777" w:rsidR="00E16E35" w:rsidRDefault="00E16E35" w:rsidP="0086223D">
      <w:pPr>
        <w:jc w:val="both"/>
        <w:rPr>
          <w:b/>
          <w:bCs/>
          <w:color w:val="000000" w:themeColor="text1"/>
        </w:rPr>
      </w:pPr>
    </w:p>
    <w:p w14:paraId="12979662" w14:textId="77777777" w:rsidR="00E16E35" w:rsidRDefault="00E16E35" w:rsidP="0086223D">
      <w:pPr>
        <w:jc w:val="both"/>
        <w:rPr>
          <w:b/>
          <w:bCs/>
          <w:color w:val="000000" w:themeColor="text1"/>
        </w:rPr>
      </w:pPr>
    </w:p>
    <w:p w14:paraId="75432239" w14:textId="2277259A" w:rsidR="00E16E35" w:rsidRDefault="00E16E35" w:rsidP="0086223D">
      <w:pPr>
        <w:jc w:val="both"/>
        <w:rPr>
          <w:b/>
          <w:bCs/>
          <w:color w:val="000000" w:themeColor="text1"/>
        </w:rPr>
      </w:pPr>
      <w:r>
        <w:rPr>
          <w:b/>
          <w:bCs/>
          <w:noProof/>
          <w:color w:val="000000" w:themeColor="text1"/>
          <w14:ligatures w14:val="standardContextual"/>
        </w:rPr>
        <w:drawing>
          <wp:inline distT="0" distB="0" distL="0" distR="0" wp14:anchorId="4FEA569E" wp14:editId="6DF2DC93">
            <wp:extent cx="5943600" cy="3192145"/>
            <wp:effectExtent l="0" t="0" r="0" b="825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upplementary_Figure_S6.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3192145"/>
                    </a:xfrm>
                    <a:prstGeom prst="rect">
                      <a:avLst/>
                    </a:prstGeom>
                  </pic:spPr>
                </pic:pic>
              </a:graphicData>
            </a:graphic>
          </wp:inline>
        </w:drawing>
      </w:r>
    </w:p>
    <w:p w14:paraId="1B4777E3" w14:textId="1A2536CD" w:rsidR="00E077CB" w:rsidRPr="00F233E9" w:rsidRDefault="002221EF" w:rsidP="0086223D">
      <w:pPr>
        <w:jc w:val="both"/>
      </w:pPr>
      <w:r>
        <w:rPr>
          <w:b/>
          <w:bCs/>
          <w:color w:val="000000" w:themeColor="text1"/>
        </w:rPr>
        <w:t xml:space="preserve">Supplementary Fig. </w:t>
      </w:r>
      <w:r w:rsidR="00663A14" w:rsidRPr="00F233E9">
        <w:rPr>
          <w:b/>
          <w:bCs/>
          <w:color w:val="000000" w:themeColor="text1"/>
        </w:rPr>
        <w:t>6</w:t>
      </w:r>
      <w:r w:rsidR="00663A14" w:rsidRPr="00F233E9">
        <w:rPr>
          <w:color w:val="000000" w:themeColor="text1"/>
        </w:rPr>
        <w:t xml:space="preserve">. </w:t>
      </w:r>
      <w:r w:rsidR="005E1A00" w:rsidRPr="00F233E9">
        <w:t xml:space="preserve">Comparison with </w:t>
      </w:r>
      <w:r>
        <w:t xml:space="preserve">Supplementary Fig. </w:t>
      </w:r>
      <w:r w:rsidR="00035BBC">
        <w:t>5</w:t>
      </w:r>
      <w:r w:rsidR="005E1A00" w:rsidRPr="00F233E9">
        <w:t>, which reverses the somatic and cytokine columns, serves as a structural sensitivity analysis for ordering bias</w:t>
      </w:r>
      <w:r w:rsidR="00E077CB" w:rsidRPr="00F233E9">
        <w:t xml:space="preserve">. </w:t>
      </w:r>
      <w:r w:rsidR="00C2205E" w:rsidRPr="00F233E9">
        <w:rPr>
          <w:color w:val="000000" w:themeColor="text1"/>
        </w:rPr>
        <w:t>Panels D-F show the same germline → cytokine → somatic → outcome ordering for the clonal disease entities: (D) Myelofibrosis (MF). (E) Myelodysplastic syndromes (MDS). (F) Myeloproliferative neoplasms (MPN).</w:t>
      </w:r>
      <w:r w:rsidR="00083F59" w:rsidRPr="00F233E9">
        <w:t xml:space="preserve"> (A) </w:t>
      </w:r>
      <w:proofErr w:type="spellStart"/>
      <w:r w:rsidR="00083F59" w:rsidRPr="00F233E9">
        <w:t>Shwachman</w:t>
      </w:r>
      <w:proofErr w:type="spellEnd"/>
      <w:r w:rsidR="00083F59" w:rsidRPr="00F233E9">
        <w:t>-Diamond syndrome (SDS). Sankey diagram showing germline SBDS/DNAJC21/EFL1/SRP54 gene context, cytokine associations, and documented somatic secondary events (</w:t>
      </w:r>
      <w:r w:rsidR="00083F59" w:rsidRPr="00F233E9">
        <w:rPr>
          <w:i/>
          <w:iCs/>
        </w:rPr>
        <w:t>TP53, KRAS, EIF6</w:t>
      </w:r>
      <w:r w:rsidR="00083F59" w:rsidRPr="00F233E9">
        <w:t xml:space="preserve">) with hematopoietic outcomes. Note: somatic alterations in SDS are rare and represent secondary clonal events rather than primary drivers; </w:t>
      </w:r>
      <w:r w:rsidR="00083F59" w:rsidRPr="00F233E9">
        <w:rPr>
          <w:i/>
          <w:iCs/>
        </w:rPr>
        <w:t>CALR, JAK2, DNMT3A</w:t>
      </w:r>
      <w:r w:rsidR="00083F59" w:rsidRPr="00F233E9">
        <w:t>, and other canonical myeloid somatic genes are not represented because their co-occurrence with SDS in the literature does not reflect disease-specific pathobiology.</w:t>
      </w:r>
      <w:r w:rsidR="00E077CB" w:rsidRPr="00F233E9">
        <w:t xml:space="preserve"> </w:t>
      </w:r>
      <w:r w:rsidR="00083F59" w:rsidRPr="00F233E9">
        <w:t>(B) Dyskeratosis congenita (DKC). Germline telomere biology disorder genes (DKC1, TERC, TERT, NHP2, NOP10, RTEL1, PARN, WRAP53) are shown. Only TP53 is retained in the somatic column as a documented secondary</w:t>
      </w:r>
      <w:r w:rsidR="00E077CB" w:rsidRPr="00F233E9">
        <w:t xml:space="preserve"> </w:t>
      </w:r>
      <w:r w:rsidR="00083F59" w:rsidRPr="00F233E9">
        <w:t>clonal event. Other somatic myeloid genes are excluded as they do not occur at meaningful frequencies in primary DKC.</w:t>
      </w:r>
      <w:r w:rsidR="00E077CB" w:rsidRPr="00F233E9">
        <w:t xml:space="preserve"> </w:t>
      </w:r>
      <w:r w:rsidR="00083F59" w:rsidRPr="00F233E9">
        <w:t>(C) Severe congenital neutropenia (SCN). Germline genes (</w:t>
      </w:r>
      <w:r w:rsidR="00083F59" w:rsidRPr="00F233E9">
        <w:rPr>
          <w:i/>
          <w:iCs/>
        </w:rPr>
        <w:t>ELANE, HAX1, G6PC3, GFI1</w:t>
      </w:r>
      <w:r w:rsidR="00083F59" w:rsidRPr="00F233E9">
        <w:t xml:space="preserve">) are shown alongside CSF3R and TP53, which represent the specific somatic alterations acquired during SCN→MDS/AML progression. </w:t>
      </w:r>
      <w:r w:rsidR="00083F59" w:rsidRPr="00F233E9">
        <w:rPr>
          <w:i/>
          <w:iCs/>
        </w:rPr>
        <w:t>CALR, DNMT3A, JAK2,</w:t>
      </w:r>
      <w:r w:rsidR="00083F59" w:rsidRPr="00F233E9">
        <w:t xml:space="preserve"> and other clonal myeloid genes are excluded as they are not characteristic of SCN pathobiology.</w:t>
      </w:r>
      <w:r w:rsidR="00577A39" w:rsidRPr="00F233E9">
        <w:t xml:space="preserve"> Clonal disease entities (MF, MDS, MPN) are shown in the main text as Figure 4D-F using the same node ordering.</w:t>
      </w:r>
      <w:r w:rsidR="00E077CB" w:rsidRPr="00F233E9">
        <w:t xml:space="preserve">  </w:t>
      </w:r>
      <w:bookmarkStart w:id="3" w:name="OLE_LINK6"/>
      <w:r w:rsidR="00E077CB" w:rsidRPr="00F233E9">
        <w:t xml:space="preserve">Interactive plots of the same are available at </w:t>
      </w:r>
      <w:bookmarkStart w:id="4" w:name="OLE_LINK34"/>
      <w:r w:rsidR="00E077CB" w:rsidRPr="00F233E9">
        <w:fldChar w:fldCharType="begin"/>
      </w:r>
      <w:r w:rsidR="00E077CB" w:rsidRPr="00F233E9">
        <w:instrText>HYPERLINK "https://sbeesett.github.io/Disease-Sunburst/"</w:instrText>
      </w:r>
      <w:r w:rsidR="00E077CB" w:rsidRPr="00F233E9">
        <w:fldChar w:fldCharType="separate"/>
      </w:r>
      <w:r w:rsidR="00E077CB" w:rsidRPr="00F233E9">
        <w:rPr>
          <w:rStyle w:val="af3"/>
        </w:rPr>
        <w:t>https://sbeesett.github.io/Disease-Sunburst/</w:t>
      </w:r>
      <w:r w:rsidR="00E077CB" w:rsidRPr="00F233E9">
        <w:fldChar w:fldCharType="end"/>
      </w:r>
      <w:bookmarkEnd w:id="4"/>
    </w:p>
    <w:bookmarkEnd w:id="2"/>
    <w:bookmarkEnd w:id="3"/>
    <w:p w14:paraId="542016FE" w14:textId="1904D44A" w:rsidR="00256A2F" w:rsidRDefault="00256A2F" w:rsidP="0086223D">
      <w:pPr>
        <w:jc w:val="both"/>
        <w:rPr>
          <w:color w:val="000000" w:themeColor="text1"/>
        </w:rPr>
      </w:pPr>
    </w:p>
    <w:p w14:paraId="6950C91D" w14:textId="67D8E7FA" w:rsidR="00E16E35" w:rsidRPr="00F233E9" w:rsidRDefault="00E16E35" w:rsidP="0086223D">
      <w:pPr>
        <w:jc w:val="both"/>
        <w:rPr>
          <w:color w:val="000000" w:themeColor="text1"/>
        </w:rPr>
      </w:pPr>
      <w:r>
        <w:rPr>
          <w:noProof/>
          <w:color w:val="000000" w:themeColor="text1"/>
          <w14:ligatures w14:val="standardContextual"/>
        </w:rPr>
        <w:lastRenderedPageBreak/>
        <w:drawing>
          <wp:inline distT="0" distB="0" distL="0" distR="0" wp14:anchorId="074844BB" wp14:editId="65F98E0F">
            <wp:extent cx="5943600" cy="4570095"/>
            <wp:effectExtent l="0" t="0" r="0" b="190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upplementary_Figure_S7.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943600" cy="4570095"/>
                    </a:xfrm>
                    <a:prstGeom prst="rect">
                      <a:avLst/>
                    </a:prstGeom>
                  </pic:spPr>
                </pic:pic>
              </a:graphicData>
            </a:graphic>
          </wp:inline>
        </w:drawing>
      </w:r>
    </w:p>
    <w:p w14:paraId="2D96E5D9" w14:textId="7B53891D" w:rsidR="00BC1F00" w:rsidRPr="00BC1F00" w:rsidRDefault="002221EF" w:rsidP="00BC1F00">
      <w:pPr>
        <w:jc w:val="both"/>
        <w:rPr>
          <w:color w:val="000000" w:themeColor="text1"/>
        </w:rPr>
      </w:pPr>
      <w:bookmarkStart w:id="5" w:name="OLE_LINK32"/>
      <w:r>
        <w:rPr>
          <w:b/>
          <w:bCs/>
          <w:color w:val="000000" w:themeColor="text1"/>
        </w:rPr>
        <w:t xml:space="preserve">Supplementary Fig. </w:t>
      </w:r>
      <w:r w:rsidR="00E754C1" w:rsidRPr="00F233E9">
        <w:rPr>
          <w:b/>
          <w:bCs/>
          <w:color w:val="000000" w:themeColor="text1"/>
        </w:rPr>
        <w:t>7</w:t>
      </w:r>
      <w:r w:rsidR="00C2205E" w:rsidRPr="00F233E9">
        <w:rPr>
          <w:b/>
          <w:bCs/>
          <w:color w:val="000000" w:themeColor="text1"/>
        </w:rPr>
        <w:t>.</w:t>
      </w:r>
      <w:r w:rsidR="00C2205E" w:rsidRPr="00F233E9">
        <w:rPr>
          <w:color w:val="000000" w:themeColor="text1"/>
        </w:rPr>
        <w:t xml:space="preserve"> </w:t>
      </w:r>
      <w:r w:rsidR="00BC1F00" w:rsidRPr="00BC1F00">
        <w:rPr>
          <w:color w:val="000000" w:themeColor="text1"/>
        </w:rPr>
        <w:t xml:space="preserve">Hierarchical Integration of Disease-Cytokine-Gene-Outcome Pathways (Germline </w:t>
      </w:r>
      <w:r w:rsidR="00BC1F00" w:rsidRPr="00BC1F00">
        <w:rPr>
          <w:rFonts w:hint="eastAsia"/>
          <w:color w:val="000000" w:themeColor="text1"/>
        </w:rPr>
        <w:t>→</w:t>
      </w:r>
      <w:r w:rsidR="00BC1F00" w:rsidRPr="00BC1F00">
        <w:rPr>
          <w:color w:val="000000" w:themeColor="text1"/>
        </w:rPr>
        <w:t xml:space="preserve"> Cytokine </w:t>
      </w:r>
      <w:r w:rsidR="00BC1F00" w:rsidRPr="00BC1F00">
        <w:rPr>
          <w:rFonts w:hint="eastAsia"/>
          <w:color w:val="000000" w:themeColor="text1"/>
        </w:rPr>
        <w:t>→</w:t>
      </w:r>
      <w:r w:rsidR="00BC1F00" w:rsidRPr="00BC1F00">
        <w:rPr>
          <w:color w:val="000000" w:themeColor="text1"/>
        </w:rPr>
        <w:t xml:space="preserve"> Somatic </w:t>
      </w:r>
      <w:r w:rsidR="00BC1F00" w:rsidRPr="00BC1F00">
        <w:rPr>
          <w:rFonts w:hint="eastAsia"/>
          <w:color w:val="000000" w:themeColor="text1"/>
        </w:rPr>
        <w:t>→</w:t>
      </w:r>
      <w:r w:rsidR="00BC1F00" w:rsidRPr="00BC1F00">
        <w:rPr>
          <w:color w:val="000000" w:themeColor="text1"/>
        </w:rPr>
        <w:t xml:space="preserve"> Outcome Ordering).</w:t>
      </w:r>
    </w:p>
    <w:p w14:paraId="10FC92F9" w14:textId="77777777" w:rsidR="00BC1F00" w:rsidRPr="00BC1F00" w:rsidRDefault="00BC1F00" w:rsidP="00BC1F00">
      <w:pPr>
        <w:jc w:val="both"/>
        <w:rPr>
          <w:color w:val="000000" w:themeColor="text1"/>
        </w:rPr>
      </w:pPr>
      <w:r w:rsidRPr="00BC1F00">
        <w:rPr>
          <w:color w:val="000000" w:themeColor="text1"/>
        </w:rPr>
        <w:t>Sunburst diagram displaying hierarchical co-occurrence relationships across the full BMF literature corpus. Ring structure from inner to outer: innermost ring = disease entity (color-coded; see legend); second ring = inflammatory cytokine; third ring = genetic driver (germline or somatic gene); outermost ring = hematopoietic outcome category. Segment arc length is proportional to composite evidence score. Only chains meeting dual inclusion thresholds (</w:t>
      </w:r>
      <w:r w:rsidRPr="00BC1F00">
        <w:rPr>
          <w:rFonts w:hint="eastAsia"/>
          <w:color w:val="000000" w:themeColor="text1"/>
        </w:rPr>
        <w:t>≥</w:t>
      </w:r>
      <w:r w:rsidRPr="00BC1F00">
        <w:rPr>
          <w:color w:val="000000" w:themeColor="text1"/>
        </w:rPr>
        <w:t xml:space="preserve">10 deduplicated publications per disease-cytokine pair; </w:t>
      </w:r>
      <w:r w:rsidRPr="00BC1F00">
        <w:rPr>
          <w:rFonts w:hint="eastAsia"/>
          <w:color w:val="000000" w:themeColor="text1"/>
        </w:rPr>
        <w:t>≥</w:t>
      </w:r>
      <w:r w:rsidRPr="00BC1F00">
        <w:rPr>
          <w:color w:val="000000" w:themeColor="text1"/>
        </w:rPr>
        <w:t>5 per cytokine-gene pair) are represented.</w:t>
      </w:r>
    </w:p>
    <w:p w14:paraId="64901C29" w14:textId="449F0577" w:rsidR="00C2205E" w:rsidRPr="00F233E9" w:rsidRDefault="00BC1F00" w:rsidP="00BC1F00">
      <w:pPr>
        <w:jc w:val="both"/>
        <w:rPr>
          <w:color w:val="000000" w:themeColor="text1"/>
        </w:rPr>
      </w:pPr>
      <w:r w:rsidRPr="00BC1F00">
        <w:rPr>
          <w:color w:val="000000" w:themeColor="text1"/>
        </w:rPr>
        <w:t xml:space="preserve">This figure complements the main text Figure 4 (Disease </w:t>
      </w:r>
      <w:r w:rsidRPr="00BC1F00">
        <w:rPr>
          <w:rFonts w:hint="eastAsia"/>
          <w:color w:val="000000" w:themeColor="text1"/>
        </w:rPr>
        <w:t>→</w:t>
      </w:r>
      <w:r w:rsidRPr="00BC1F00">
        <w:rPr>
          <w:color w:val="000000" w:themeColor="text1"/>
        </w:rPr>
        <w:t xml:space="preserve"> Cytokine </w:t>
      </w:r>
      <w:r w:rsidRPr="00BC1F00">
        <w:rPr>
          <w:rFonts w:hint="eastAsia"/>
          <w:color w:val="000000" w:themeColor="text1"/>
        </w:rPr>
        <w:t>→</w:t>
      </w:r>
      <w:r w:rsidRPr="00BC1F00">
        <w:rPr>
          <w:color w:val="000000" w:themeColor="text1"/>
        </w:rPr>
        <w:t xml:space="preserve"> Gene </w:t>
      </w:r>
      <w:r w:rsidRPr="00BC1F00">
        <w:rPr>
          <w:rFonts w:hint="eastAsia"/>
          <w:color w:val="000000" w:themeColor="text1"/>
        </w:rPr>
        <w:t>→</w:t>
      </w:r>
      <w:r w:rsidRPr="00BC1F00">
        <w:rPr>
          <w:color w:val="000000" w:themeColor="text1"/>
        </w:rPr>
        <w:t xml:space="preserve"> Outcome ordering) by positioning genetic drivers before cytokines in the hierarchy, allowing readers to assess whether gene-first or cytokine-first framing alters the apparent structure of the data. Note: This visualization was generated as an interactive </w:t>
      </w:r>
      <w:proofErr w:type="spellStart"/>
      <w:r w:rsidRPr="00BC1F00">
        <w:rPr>
          <w:color w:val="000000" w:themeColor="text1"/>
        </w:rPr>
        <w:t>plotly</w:t>
      </w:r>
      <w:proofErr w:type="spellEnd"/>
      <w:r w:rsidRPr="00BC1F00">
        <w:rPr>
          <w:color w:val="000000" w:themeColor="text1"/>
        </w:rPr>
        <w:t xml:space="preserve"> sunburst diagram and is reproduced here as a static image for print publication. Outer ring (outcome) labels are partially truncated at print resolution; a fully labeled interactive version is available at https://sbeesett.github.io/Disease-Sunburst/. Complete underlying chain data and composite evidence scores are provided in Supplementary Data File 1 (</w:t>
      </w:r>
      <w:proofErr w:type="spellStart"/>
      <w:r w:rsidRPr="00BC1F00">
        <w:rPr>
          <w:color w:val="000000" w:themeColor="text1"/>
        </w:rPr>
        <w:t>Main_Associations</w:t>
      </w:r>
      <w:proofErr w:type="spellEnd"/>
      <w:r w:rsidRPr="00BC1F00">
        <w:rPr>
          <w:color w:val="000000" w:themeColor="text1"/>
        </w:rPr>
        <w:t xml:space="preserve"> sheet).</w:t>
      </w:r>
    </w:p>
    <w:p w14:paraId="18A555BF" w14:textId="31CBBFEC" w:rsidR="005C6A57" w:rsidRDefault="005C6A57" w:rsidP="0086223D">
      <w:pPr>
        <w:jc w:val="both"/>
        <w:rPr>
          <w:color w:val="000000" w:themeColor="text1"/>
        </w:rPr>
      </w:pPr>
    </w:p>
    <w:p w14:paraId="708E9ED7" w14:textId="30E803A2" w:rsidR="00E16E35" w:rsidRPr="00F233E9" w:rsidRDefault="00E16E35" w:rsidP="0086223D">
      <w:pPr>
        <w:jc w:val="both"/>
        <w:rPr>
          <w:color w:val="000000" w:themeColor="text1"/>
        </w:rPr>
      </w:pPr>
      <w:r>
        <w:rPr>
          <w:noProof/>
          <w:color w:val="000000" w:themeColor="text1"/>
          <w14:ligatures w14:val="standardContextual"/>
        </w:rPr>
        <w:lastRenderedPageBreak/>
        <w:drawing>
          <wp:inline distT="0" distB="0" distL="0" distR="0" wp14:anchorId="4FE0390A" wp14:editId="6AB921D7">
            <wp:extent cx="5943600" cy="4358005"/>
            <wp:effectExtent l="0" t="0" r="0" b="444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upplementary_Figure_S8.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3600" cy="4358005"/>
                    </a:xfrm>
                    <a:prstGeom prst="rect">
                      <a:avLst/>
                    </a:prstGeom>
                  </pic:spPr>
                </pic:pic>
              </a:graphicData>
            </a:graphic>
          </wp:inline>
        </w:drawing>
      </w:r>
    </w:p>
    <w:p w14:paraId="5B269CBB" w14:textId="38508F4B" w:rsidR="00BC1F00" w:rsidRPr="00BC1F00" w:rsidRDefault="002221EF" w:rsidP="00BC1F00">
      <w:pPr>
        <w:jc w:val="both"/>
        <w:rPr>
          <w:color w:val="000000" w:themeColor="text1"/>
        </w:rPr>
      </w:pPr>
      <w:bookmarkStart w:id="6" w:name="OLE_LINK24"/>
      <w:r>
        <w:rPr>
          <w:b/>
          <w:bCs/>
          <w:color w:val="000000" w:themeColor="text1"/>
        </w:rPr>
        <w:t xml:space="preserve">Supplementary Fig. </w:t>
      </w:r>
      <w:r w:rsidR="00E754C1" w:rsidRPr="00F233E9">
        <w:rPr>
          <w:b/>
          <w:bCs/>
          <w:color w:val="000000" w:themeColor="text1"/>
        </w:rPr>
        <w:t>8</w:t>
      </w:r>
      <w:bookmarkEnd w:id="6"/>
      <w:r w:rsidR="00256A2F" w:rsidRPr="00F233E9">
        <w:rPr>
          <w:b/>
          <w:bCs/>
          <w:color w:val="000000" w:themeColor="text1"/>
        </w:rPr>
        <w:t>.</w:t>
      </w:r>
      <w:r w:rsidR="00256A2F" w:rsidRPr="00F233E9">
        <w:rPr>
          <w:color w:val="000000" w:themeColor="text1"/>
        </w:rPr>
        <w:t xml:space="preserve"> </w:t>
      </w:r>
      <w:r w:rsidR="00BC1F00" w:rsidRPr="00BC1F00">
        <w:rPr>
          <w:color w:val="000000" w:themeColor="text1"/>
        </w:rPr>
        <w:t xml:space="preserve">Hierarchical Integration of Disease-Gene-Cytokine-Outcome Pathways (Alternative Hierarchy: Disease </w:t>
      </w:r>
      <w:r w:rsidR="00BC1F00" w:rsidRPr="00BC1F00">
        <w:rPr>
          <w:rFonts w:hint="eastAsia"/>
          <w:color w:val="000000" w:themeColor="text1"/>
        </w:rPr>
        <w:t>→</w:t>
      </w:r>
      <w:r w:rsidR="00BC1F00" w:rsidRPr="00BC1F00">
        <w:rPr>
          <w:color w:val="000000" w:themeColor="text1"/>
        </w:rPr>
        <w:t xml:space="preserve"> Gene </w:t>
      </w:r>
      <w:r w:rsidR="00BC1F00" w:rsidRPr="00BC1F00">
        <w:rPr>
          <w:rFonts w:hint="eastAsia"/>
          <w:color w:val="000000" w:themeColor="text1"/>
        </w:rPr>
        <w:t>→</w:t>
      </w:r>
      <w:r w:rsidR="00BC1F00" w:rsidRPr="00BC1F00">
        <w:rPr>
          <w:color w:val="000000" w:themeColor="text1"/>
        </w:rPr>
        <w:t xml:space="preserve"> Cytokine </w:t>
      </w:r>
      <w:r w:rsidR="00BC1F00" w:rsidRPr="00BC1F00">
        <w:rPr>
          <w:rFonts w:hint="eastAsia"/>
          <w:color w:val="000000" w:themeColor="text1"/>
        </w:rPr>
        <w:t>→</w:t>
      </w:r>
      <w:r w:rsidR="00BC1F00" w:rsidRPr="00BC1F00">
        <w:rPr>
          <w:color w:val="000000" w:themeColor="text1"/>
        </w:rPr>
        <w:t xml:space="preserve"> Outcome).</w:t>
      </w:r>
    </w:p>
    <w:p w14:paraId="73579A15" w14:textId="641CCD0E" w:rsidR="00BC1F00" w:rsidRPr="00BC1F00" w:rsidRDefault="00BC1F00" w:rsidP="00BC1F00">
      <w:pPr>
        <w:jc w:val="both"/>
        <w:rPr>
          <w:color w:val="000000" w:themeColor="text1"/>
        </w:rPr>
      </w:pPr>
      <w:r w:rsidRPr="00BC1F00">
        <w:rPr>
          <w:color w:val="000000" w:themeColor="text1"/>
        </w:rPr>
        <w:t xml:space="preserve">Sunburst diagram displaying hierarchical co-occurrence relationships across the full BMF literature corpus using an alternative node ordering to </w:t>
      </w:r>
      <w:r w:rsidR="002221EF">
        <w:rPr>
          <w:color w:val="000000" w:themeColor="text1"/>
        </w:rPr>
        <w:t xml:space="preserve">Supplementary Fig. </w:t>
      </w:r>
      <w:r w:rsidRPr="00BC1F00">
        <w:rPr>
          <w:color w:val="000000" w:themeColor="text1"/>
        </w:rPr>
        <w:t xml:space="preserve">7 (Disease </w:t>
      </w:r>
      <w:r w:rsidRPr="00BC1F00">
        <w:rPr>
          <w:rFonts w:hint="eastAsia"/>
          <w:color w:val="000000" w:themeColor="text1"/>
        </w:rPr>
        <w:t>→</w:t>
      </w:r>
      <w:r w:rsidRPr="00BC1F00">
        <w:rPr>
          <w:color w:val="000000" w:themeColor="text1"/>
        </w:rPr>
        <w:t xml:space="preserve"> Cytokine </w:t>
      </w:r>
      <w:r w:rsidRPr="00BC1F00">
        <w:rPr>
          <w:rFonts w:hint="eastAsia"/>
          <w:color w:val="000000" w:themeColor="text1"/>
        </w:rPr>
        <w:t>→</w:t>
      </w:r>
      <w:r w:rsidRPr="00BC1F00">
        <w:rPr>
          <w:color w:val="000000" w:themeColor="text1"/>
        </w:rPr>
        <w:t xml:space="preserve"> Gene </w:t>
      </w:r>
      <w:r w:rsidRPr="00BC1F00">
        <w:rPr>
          <w:rFonts w:hint="eastAsia"/>
          <w:color w:val="000000" w:themeColor="text1"/>
        </w:rPr>
        <w:t>→</w:t>
      </w:r>
      <w:r w:rsidRPr="00BC1F00">
        <w:rPr>
          <w:color w:val="000000" w:themeColor="text1"/>
        </w:rPr>
        <w:t xml:space="preserve"> Outcome hierarchy. Ring structure from inner to outer: innermost ring = disease entity (color-coded; see legend); second ring = genetic driver (germline or somatic gene); third ring = inflammatory cytokine; outermost ring = hematopoietic outcome category. Segment arc length is proportional to composite evidence score. Only chains meeting dual inclusion thresholds (</w:t>
      </w:r>
      <w:r w:rsidRPr="00BC1F00">
        <w:rPr>
          <w:rFonts w:hint="eastAsia"/>
          <w:color w:val="000000" w:themeColor="text1"/>
        </w:rPr>
        <w:t>≥</w:t>
      </w:r>
      <w:r w:rsidRPr="00BC1F00">
        <w:rPr>
          <w:color w:val="000000" w:themeColor="text1"/>
        </w:rPr>
        <w:t xml:space="preserve">10 deduplicated publications per disease-cytokine pair; </w:t>
      </w:r>
      <w:r w:rsidRPr="00BC1F00">
        <w:rPr>
          <w:rFonts w:hint="eastAsia"/>
          <w:color w:val="000000" w:themeColor="text1"/>
        </w:rPr>
        <w:t>≥</w:t>
      </w:r>
      <w:r w:rsidRPr="00BC1F00">
        <w:rPr>
          <w:color w:val="000000" w:themeColor="text1"/>
        </w:rPr>
        <w:t>5 per cytokine-gene pair) are represented.</w:t>
      </w:r>
    </w:p>
    <w:p w14:paraId="6AA8C4E0" w14:textId="7C7CA6DB" w:rsidR="00053C63" w:rsidRDefault="00BC1F00" w:rsidP="00BC1F00">
      <w:pPr>
        <w:jc w:val="both"/>
        <w:rPr>
          <w:color w:val="000000" w:themeColor="text1"/>
        </w:rPr>
      </w:pPr>
      <w:r w:rsidRPr="00BC1F00">
        <w:rPr>
          <w:color w:val="000000" w:themeColor="text1"/>
        </w:rPr>
        <w:t xml:space="preserve">This figure complements the main text </w:t>
      </w:r>
      <w:r w:rsidR="002221EF">
        <w:rPr>
          <w:color w:val="000000" w:themeColor="text1"/>
        </w:rPr>
        <w:t xml:space="preserve">Supplementary Fig. </w:t>
      </w:r>
      <w:r w:rsidRPr="00BC1F00">
        <w:rPr>
          <w:color w:val="000000" w:themeColor="text1"/>
        </w:rPr>
        <w:t xml:space="preserve">6 (Disease </w:t>
      </w:r>
      <w:r w:rsidRPr="00BC1F00">
        <w:rPr>
          <w:rFonts w:hint="eastAsia"/>
          <w:color w:val="000000" w:themeColor="text1"/>
        </w:rPr>
        <w:t>→</w:t>
      </w:r>
      <w:r w:rsidRPr="00BC1F00">
        <w:rPr>
          <w:color w:val="000000" w:themeColor="text1"/>
        </w:rPr>
        <w:t xml:space="preserve"> Cytokine </w:t>
      </w:r>
      <w:r w:rsidRPr="00BC1F00">
        <w:rPr>
          <w:rFonts w:hint="eastAsia"/>
          <w:color w:val="000000" w:themeColor="text1"/>
        </w:rPr>
        <w:t>→</w:t>
      </w:r>
      <w:r w:rsidRPr="00BC1F00">
        <w:rPr>
          <w:color w:val="000000" w:themeColor="text1"/>
        </w:rPr>
        <w:t xml:space="preserve"> Gene </w:t>
      </w:r>
      <w:r w:rsidRPr="00BC1F00">
        <w:rPr>
          <w:rFonts w:hint="eastAsia"/>
          <w:color w:val="000000" w:themeColor="text1"/>
        </w:rPr>
        <w:t>→</w:t>
      </w:r>
      <w:r w:rsidRPr="00BC1F00">
        <w:rPr>
          <w:color w:val="000000" w:themeColor="text1"/>
        </w:rPr>
        <w:t xml:space="preserve"> Outcome ordering) by positioning genetic drivers before cytokines in the hierarchy, allowing readers to assess whether gene-first or cytokine-first framing alters the apparent structure of the data. Note: This visualization was generated as an interactive </w:t>
      </w:r>
      <w:proofErr w:type="spellStart"/>
      <w:r w:rsidRPr="00BC1F00">
        <w:rPr>
          <w:color w:val="000000" w:themeColor="text1"/>
        </w:rPr>
        <w:t>plotly</w:t>
      </w:r>
      <w:proofErr w:type="spellEnd"/>
      <w:r w:rsidRPr="00BC1F00">
        <w:rPr>
          <w:color w:val="000000" w:themeColor="text1"/>
        </w:rPr>
        <w:t xml:space="preserve"> sunburst diagram and is reproduced here as a static image for print publication. Outer ring (outcome) labels are partially truncated at print resolution; a fully labeled interactive version is available at https://sbeesett.github.io/Disease-Sunburst/. Complete underlying chain data and composite evidence scores are provided in Supplementary Data File (</w:t>
      </w:r>
      <w:proofErr w:type="spellStart"/>
      <w:r w:rsidRPr="00BC1F00">
        <w:rPr>
          <w:color w:val="000000" w:themeColor="text1"/>
        </w:rPr>
        <w:t>Main_Associations</w:t>
      </w:r>
      <w:proofErr w:type="spellEnd"/>
      <w:r w:rsidRPr="00BC1F00">
        <w:rPr>
          <w:color w:val="000000" w:themeColor="text1"/>
        </w:rPr>
        <w:t xml:space="preserve"> sheet).</w:t>
      </w:r>
    </w:p>
    <w:p w14:paraId="4865AB2E" w14:textId="52931CA3" w:rsidR="00E16E35" w:rsidRPr="00F233E9" w:rsidRDefault="00E16E35" w:rsidP="0086223D">
      <w:pPr>
        <w:jc w:val="both"/>
        <w:rPr>
          <w:color w:val="000000" w:themeColor="text1"/>
        </w:rPr>
      </w:pPr>
      <w:r>
        <w:rPr>
          <w:noProof/>
          <w:color w:val="000000" w:themeColor="text1"/>
          <w14:ligatures w14:val="standardContextual"/>
        </w:rPr>
        <w:lastRenderedPageBreak/>
        <w:drawing>
          <wp:inline distT="0" distB="0" distL="0" distR="0" wp14:anchorId="70BE8170" wp14:editId="4994518C">
            <wp:extent cx="5943600" cy="315214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upplementary_Figure_S9.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943600" cy="3152140"/>
                    </a:xfrm>
                    <a:prstGeom prst="rect">
                      <a:avLst/>
                    </a:prstGeom>
                  </pic:spPr>
                </pic:pic>
              </a:graphicData>
            </a:graphic>
          </wp:inline>
        </w:drawing>
      </w:r>
    </w:p>
    <w:bookmarkEnd w:id="0"/>
    <w:bookmarkEnd w:id="5"/>
    <w:p w14:paraId="2BC2925E" w14:textId="03CA4C2C" w:rsidR="0048539D" w:rsidRPr="00F233E9" w:rsidRDefault="002221EF" w:rsidP="0086223D">
      <w:pPr>
        <w:jc w:val="both"/>
      </w:pPr>
      <w:r>
        <w:rPr>
          <w:b/>
          <w:bCs/>
        </w:rPr>
        <w:t xml:space="preserve">Supplementary Fig. </w:t>
      </w:r>
      <w:r w:rsidR="0048539D" w:rsidRPr="00F233E9">
        <w:rPr>
          <w:b/>
          <w:bCs/>
        </w:rPr>
        <w:t>9. Cytokine Co-occurrence Emphasis by Disease Stage.</w:t>
      </w:r>
    </w:p>
    <w:p w14:paraId="6275E827" w14:textId="77777777" w:rsidR="0048539D" w:rsidRPr="00F233E9" w:rsidRDefault="0048539D" w:rsidP="0086223D">
      <w:pPr>
        <w:jc w:val="both"/>
      </w:pPr>
      <w:r w:rsidRPr="00F233E9">
        <w:t>Heatmap showing relative bibliometric co-occurrence strength between seven cytokine axes and four consolidated disease-stage categories (Immune-dominant BMF, Clonal dysplasia/MDS, Clonal proliferation/MPN, Fibrotic remodeling/MF). Cell color reflects normalized co-occurrence strength (0–1 scale); gene annotations indicate the most frequently co-reported driver gene per cytokine-disease stage combination (high-confidence chains only; ≥10 disease-cytokine / ≥5 cytokine-gene publications). Gene symbols italicized per HGNC convention. Cell values reflect bibliometric co-occurrence frequency only and do not represent measured cytokine levels, functional pathway activation, or causal directionality. Intended for research prioritization and hypothesis generation only.</w:t>
      </w:r>
    </w:p>
    <w:p w14:paraId="6BBA89D3" w14:textId="3F4B7633" w:rsidR="00335E8C" w:rsidRDefault="00335E8C" w:rsidP="0086223D">
      <w:pPr>
        <w:jc w:val="both"/>
      </w:pPr>
    </w:p>
    <w:p w14:paraId="4D0261FC" w14:textId="6E4AA21D" w:rsidR="00E16E35" w:rsidRPr="00F233E9" w:rsidRDefault="00E16E35" w:rsidP="0086223D">
      <w:pPr>
        <w:jc w:val="both"/>
      </w:pPr>
      <w:r>
        <w:rPr>
          <w:noProof/>
          <w14:ligatures w14:val="standardContextual"/>
        </w:rPr>
        <w:lastRenderedPageBreak/>
        <w:drawing>
          <wp:inline distT="0" distB="0" distL="0" distR="0" wp14:anchorId="403A1A03" wp14:editId="6AA1E844">
            <wp:extent cx="5943600" cy="397065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upplementary_Figure_S1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943600" cy="3970655"/>
                    </a:xfrm>
                    <a:prstGeom prst="rect">
                      <a:avLst/>
                    </a:prstGeom>
                  </pic:spPr>
                </pic:pic>
              </a:graphicData>
            </a:graphic>
          </wp:inline>
        </w:drawing>
      </w:r>
    </w:p>
    <w:p w14:paraId="66CE2ADB" w14:textId="57F7B73C" w:rsidR="0048539D" w:rsidRPr="00F233E9" w:rsidRDefault="002221EF" w:rsidP="0086223D">
      <w:pPr>
        <w:jc w:val="both"/>
      </w:pPr>
      <w:r>
        <w:rPr>
          <w:b/>
          <w:bCs/>
        </w:rPr>
        <w:t xml:space="preserve">Supplementary Fig. </w:t>
      </w:r>
      <w:r w:rsidR="0048539D" w:rsidRPr="00F233E9">
        <w:rPr>
          <w:b/>
          <w:bCs/>
        </w:rPr>
        <w:t>10. Evidence-Prioritized Cytokine-Disease Framework for Clinical Investigation.</w:t>
      </w:r>
    </w:p>
    <w:p w14:paraId="0E4F0B86" w14:textId="77777777" w:rsidR="0048539D" w:rsidRPr="0048539D" w:rsidRDefault="0048539D" w:rsidP="0086223D">
      <w:pPr>
        <w:jc w:val="both"/>
      </w:pPr>
      <w:r w:rsidRPr="00F233E9">
        <w:t xml:space="preserve">Structured four-column summary mapping genetic context, established standard-of-care strategies, candidate cytokine-directed investigational approaches, and candidate biomarkers across four BMF disease-stage categories. Gene symbols italicized per HGNC convention. VAF = variant allele fraction; DIPSS = Dynamic International Prognostic Scoring System; HMA = hypomethylating agent; ATG = </w:t>
      </w:r>
      <w:proofErr w:type="spellStart"/>
      <w:r w:rsidRPr="00F233E9">
        <w:t>antithymocyte</w:t>
      </w:r>
      <w:proofErr w:type="spellEnd"/>
      <w:r w:rsidRPr="00F233E9">
        <w:t xml:space="preserve"> globulin; HSCT = hematopoietic stem cell transplantation; </w:t>
      </w:r>
      <w:proofErr w:type="spellStart"/>
      <w:r w:rsidRPr="00F233E9">
        <w:t>JAKi</w:t>
      </w:r>
      <w:proofErr w:type="spellEnd"/>
      <w:r w:rsidRPr="00F233E9">
        <w:t xml:space="preserve"> = JAK inhibitor. Cytokine assignments reflect bibliometric co-occurrence frequency and do not represent measured cytokine levels. Primary strategies reflect published guidelines independent of this analysis. Augmentation strategies are hypothesis-generating, not prospectively validated, and should not guide individual patient treatment decisions. Intended exclusively for clinical hypothesis generation and trial design.</w:t>
      </w:r>
    </w:p>
    <w:p w14:paraId="1A1620E7" w14:textId="77777777" w:rsidR="00335E8C" w:rsidRDefault="00335E8C" w:rsidP="0086223D">
      <w:pPr>
        <w:jc w:val="both"/>
      </w:pPr>
    </w:p>
    <w:sectPr w:rsidR="00335E8C">
      <w:footerReference w:type="even" r:id="rId18"/>
      <w:footerReference w:type="default" r:id="rId19"/>
      <w:footerReference w:type="first" r:id="rId20"/>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9C7500" w14:textId="77777777" w:rsidR="008849BD" w:rsidRDefault="008849BD" w:rsidP="002302E1">
      <w:r>
        <w:separator/>
      </w:r>
    </w:p>
  </w:endnote>
  <w:endnote w:type="continuationSeparator" w:id="0">
    <w:p w14:paraId="4DE2204E" w14:textId="77777777" w:rsidR="008849BD" w:rsidRDefault="008849BD" w:rsidP="002302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Aptos Display">
    <w:altName w:val="Calibri"/>
    <w:charset w:val="00"/>
    <w:family w:val="swiss"/>
    <w:pitch w:val="variable"/>
    <w:sig w:usb0="20000287" w:usb1="00000003" w:usb2="00000000" w:usb3="00000000" w:csb0="0000019F" w:csb1="00000000"/>
  </w:font>
  <w:font w:name="等线 Light">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BD4E81" w14:textId="0DFC90EC" w:rsidR="002302E1" w:rsidRDefault="002302E1">
    <w:pPr>
      <w:pStyle w:val="af"/>
    </w:pPr>
    <w:r>
      <w:rPr>
        <w:noProof/>
        <w14:ligatures w14:val="standardContextual"/>
      </w:rPr>
      <mc:AlternateContent>
        <mc:Choice Requires="wps">
          <w:drawing>
            <wp:anchor distT="0" distB="0" distL="0" distR="0" simplePos="0" relativeHeight="251659264" behindDoc="0" locked="0" layoutInCell="1" allowOverlap="1" wp14:anchorId="2D50628F" wp14:editId="1D9D5B05">
              <wp:simplePos x="635" y="635"/>
              <wp:positionH relativeFrom="page">
                <wp:align>left</wp:align>
              </wp:positionH>
              <wp:positionV relativeFrom="page">
                <wp:align>bottom</wp:align>
              </wp:positionV>
              <wp:extent cx="1451610" cy="345440"/>
              <wp:effectExtent l="0" t="0" r="8890" b="0"/>
              <wp:wrapNone/>
              <wp:docPr id="1090373274" name="Text Box 2" descr="St. Jude -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451610" cy="345440"/>
                      </a:xfrm>
                      <a:prstGeom prst="rect">
                        <a:avLst/>
                      </a:prstGeom>
                      <a:noFill/>
                      <a:ln>
                        <a:noFill/>
                      </a:ln>
                    </wps:spPr>
                    <wps:txbx>
                      <w:txbxContent>
                        <w:p w14:paraId="6790F561" w14:textId="3F226A4C" w:rsidR="002302E1" w:rsidRPr="002302E1" w:rsidRDefault="002302E1" w:rsidP="002302E1">
                          <w:pPr>
                            <w:rPr>
                              <w:rFonts w:ascii="Aptos" w:eastAsia="Aptos" w:hAnsi="Aptos" w:cs="Aptos"/>
                              <w:noProof/>
                              <w:color w:val="000000"/>
                              <w:sz w:val="20"/>
                              <w:szCs w:val="20"/>
                            </w:rPr>
                          </w:pPr>
                          <w:r w:rsidRPr="002302E1">
                            <w:rPr>
                              <w:rFonts w:ascii="Aptos" w:eastAsia="Aptos" w:hAnsi="Aptos" w:cs="Aptos"/>
                              <w:noProof/>
                              <w:color w:val="000000"/>
                              <w:sz w:val="20"/>
                              <w:szCs w:val="20"/>
                            </w:rPr>
                            <w:t>St. Jude - Confidential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2D50628F" id="_x0000_t202" coordsize="21600,21600" o:spt="202" path="m,l,21600r21600,l21600,xe">
              <v:stroke joinstyle="miter"/>
              <v:path gradientshapeok="t" o:connecttype="rect"/>
            </v:shapetype>
            <v:shape id="Text Box 2" o:spid="_x0000_s1026" type="#_x0000_t202" alt="St. Jude - Confidential" style="position:absolute;margin-left:0;margin-top:0;width:114.3pt;height:27.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m0eewIAAL4EAAAOAAAAZHJzL2Uyb0RvYy54bWysVEtv2zAMvg/YfxB0T/yo07RBncJN6mFD&#10;0RZIh54VWW4M2KIgKbW7of99pJx0W7fTsItC8/nxI5mLy6Fr2bOyrgGd82Qac6a0hKrRTzn/+lBO&#10;zjhzXuhKtKBVzl+U45fLjx8uerNQKeygrZRlmES7RW9yvvPeLKLIyZ3qhJuCURqNNdhOePy0T1Fl&#10;RY/ZuzZK4/g06sFWxoJUzqF2PRr5MuSvayX9XV075Vmbc8Tmw2vDu6U3Wl6IxZMVZtfIAwzxDyg6&#10;0Wgs+pZqLbxge9v8kaprpAUHtZ9K6CKo60aq0AN2k8TvutnshFGhFyTHmTea3P9LK2+f7y1rKpxd&#10;fB6fzE/SecaZFh3O6kENnl3BwFLOKuUk0rbxU/ZlXyk2YSvQdVMp7RvRhtbR+8Z5IoHiQvPfZ8V1&#10;lpRFOlnFZTnJsnk8Ob9aZ5NZWaxXxdl8dXWdvtIQohAV4qPeuEXARVMM4sYgSD8gFsRJ7qR3qKRq&#10;Q207+kUyGdpxyi9vkyUkkoKyWXKaoEmi7SSbZVkYPVY9Rhvr/CcFHSMh5xY3J3QlnhHUCPDoQsU0&#10;lE3bhu1p9W8KzEma0MUIkcD6YTsccG+hesF2LIzL6IwsG6x5I5y/Fxa3D2HiRfk7fOoW+pzDQeJs&#10;B/bb3/Tkj0uBVs563Oacazw3ztrPGpclnWVxTNsfvlCwR2EbhOQ8npFd77sV4KEkeLNGBpGcfXsU&#10;awvdIx5cQdXQJLTEmjnfHsWVH28LD1aqoghOuOhG+Bu9MZJSE1nE5MPwKKw50O1xULdw3HexeMf6&#10;6EuRzhR7j9yHkRCxI5sHvvFIwiodDpqu8Nfv4PXzb2f5AwAA//8DAFBLAwQUAAYACAAAACEAZ3HL&#10;OtoAAAAEAQAADwAAAGRycy9kb3ducmV2LnhtbEyPzU7DMBCE70i8g7VIvVGHqERViFNV9EdcCUhw&#10;dOJtHDVeh6zbpm+P4QKXlUYzmvm2WE2uF2ccufOk4GGegEBqvOmoVfD+trtfguCgyejeEyq4IsOq&#10;vL0pdG78hV7xXIVWxBLiXCuwIQy5lNxYdJrnfkCK3sGPTocox1aaUV9iuetlmiSZdLqjuGD1gM8W&#10;m2N1cgqyzX5th4/s8+uQ8gvX/hgqv1Vqdjetn0AEnMJfGH7wIzqUkan2JzIsegXxkfB7o5emywxE&#10;reBxsQBZFvI/fPkNAAD//wMAUEsBAi0AFAAGAAgAAAAhALaDOJL+AAAA4QEAABMAAAAAAAAAAAAA&#10;AAAAAAAAAFtDb250ZW50X1R5cGVzXS54bWxQSwECLQAUAAYACAAAACEAOP0h/9YAAACUAQAACwAA&#10;AAAAAAAAAAAAAAAvAQAAX3JlbHMvLnJlbHNQSwECLQAUAAYACAAAACEAJaJtHnsCAAC+BAAADgAA&#10;AAAAAAAAAAAAAAAuAgAAZHJzL2Uyb0RvYy54bWxQSwECLQAUAAYACAAAACEAZ3HLOtoAAAAEAQAA&#10;DwAAAAAAAAAAAAAAAADVBAAAZHJzL2Rvd25yZXYueG1sUEsFBgAAAAAEAAQA8wAAANwFAAAAAA==&#10;" filled="f" stroked="f">
              <v:textbox style="mso-fit-shape-to-text:t" inset="20pt,0,0,15pt">
                <w:txbxContent>
                  <w:p w14:paraId="6790F561" w14:textId="3F226A4C" w:rsidR="002302E1" w:rsidRPr="002302E1" w:rsidRDefault="002302E1" w:rsidP="002302E1">
                    <w:pPr>
                      <w:rPr>
                        <w:rFonts w:ascii="Aptos" w:eastAsia="Aptos" w:hAnsi="Aptos" w:cs="Aptos"/>
                        <w:noProof/>
                        <w:color w:val="000000"/>
                        <w:sz w:val="20"/>
                        <w:szCs w:val="20"/>
                      </w:rPr>
                    </w:pPr>
                    <w:r w:rsidRPr="002302E1">
                      <w:rPr>
                        <w:rFonts w:ascii="Aptos" w:eastAsia="Aptos" w:hAnsi="Aptos" w:cs="Aptos"/>
                        <w:noProof/>
                        <w:color w:val="000000"/>
                        <w:sz w:val="20"/>
                        <w:szCs w:val="20"/>
                      </w:rPr>
                      <w:t>St. Jude - Confidential</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CE24C" w14:textId="442F1639" w:rsidR="002302E1" w:rsidRDefault="002302E1">
    <w:pPr>
      <w:pStyle w:val="af"/>
    </w:pPr>
    <w:r>
      <w:rPr>
        <w:noProof/>
        <w14:ligatures w14:val="standardContextual"/>
      </w:rPr>
      <mc:AlternateContent>
        <mc:Choice Requires="wps">
          <w:drawing>
            <wp:anchor distT="0" distB="0" distL="0" distR="0" simplePos="0" relativeHeight="251660288" behindDoc="0" locked="0" layoutInCell="1" allowOverlap="1" wp14:anchorId="5D745DE6" wp14:editId="439DEBC0">
              <wp:simplePos x="0" y="0"/>
              <wp:positionH relativeFrom="page">
                <wp:align>left</wp:align>
              </wp:positionH>
              <wp:positionV relativeFrom="page">
                <wp:align>bottom</wp:align>
              </wp:positionV>
              <wp:extent cx="1451610" cy="345440"/>
              <wp:effectExtent l="0" t="0" r="8890" b="0"/>
              <wp:wrapNone/>
              <wp:docPr id="1225512669" name="Text Box 3" descr="St. Jude -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451610" cy="345440"/>
                      </a:xfrm>
                      <a:prstGeom prst="rect">
                        <a:avLst/>
                      </a:prstGeom>
                      <a:noFill/>
                      <a:ln>
                        <a:noFill/>
                      </a:ln>
                    </wps:spPr>
                    <wps:txbx>
                      <w:txbxContent>
                        <w:p w14:paraId="13591BC4" w14:textId="71797570" w:rsidR="002302E1" w:rsidRPr="002302E1" w:rsidRDefault="002302E1" w:rsidP="002302E1">
                          <w:pPr>
                            <w:rPr>
                              <w:rFonts w:ascii="Aptos" w:eastAsia="Aptos" w:hAnsi="Aptos" w:cs="Aptos"/>
                              <w:noProof/>
                              <w:color w:val="000000"/>
                              <w:sz w:val="20"/>
                              <w:szCs w:val="20"/>
                            </w:rPr>
                          </w:pP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D745DE6" id="_x0000_t202" coordsize="21600,21600" o:spt="202" path="m,l,21600r21600,l21600,xe">
              <v:stroke joinstyle="miter"/>
              <v:path gradientshapeok="t" o:connecttype="rect"/>
            </v:shapetype>
            <v:shape id="Text Box 3" o:spid="_x0000_s1027" type="#_x0000_t202" alt="St. Jude - Confidential" style="position:absolute;margin-left:0;margin-top:0;width:114.3pt;height:27.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n7afQIAAMUEAAAOAAAAZHJzL2Uyb0RvYy54bWysVEtv2zAMvg/YfxB0T/yonTZBncJN6mFD&#10;0BZIh54VWW4M2JIgKbGzof99pBx3W7fTsItC8/nxI5nrm75tyFEYWyuZ0WgaUiIkV2UtXzL69amY&#10;XFFiHZMla5QUGT0JS2+WHz9cd3ohYrVXTSkMgSTSLjqd0b1zehEElu9Fy+xUaSHBWCnTMgef5iUo&#10;Desge9sEcRjOgk6ZUhvFhbWgXQ9GuvT5q0pw91BVVjjSZBSwOf8a/+7wDZbXbPFimN7X/AyD/QOK&#10;ltUSir6lWjPHyMHUf6Rqa26UVZWbctUGqqpqLnwP0E0Uvutmu2da+F6AHKvfaLL/Ly2/Pz4aUpcw&#10;uzhO0yiezeaUSNbCrJ5E78it6skFJaWwHGjbuin5cigFmZCVklVdCulq1vjWwXtjHZKAcb7572l+&#10;l0RFHk9WYVFMkuQynMxv18kkLfL1Kr+6XN3exa84hMBH+fig03bhceEUvbjVANL1gAVwojvqLSix&#10;Wl+ZFn+BTAJ2mPLpbbKIhGNQkkazCEwcbBdJmiR+9FB1jNbGuk9CtQSFjBrYHN8VOwKoAeDogsWk&#10;Kuqm8dvTyN8UkBM1vosBIoJ1/a4faB7h71R5gq6MGnbSal7UUHrDrHtkBpYQ0MJhuQd4qkZ1GVVn&#10;iZK9Mt/+pkd/2A2wUtLBUmdUwtVR0nyWsDNxmoQhHoH/AsGMws4L0TxM0S4P7UrBvURwupp7EZ1d&#10;M4qVUe0z3F2O1cDEJIeaGd2N4soNJwZ3y0WeeyfYd83cRm41x9TIGRL61D8zo8+sO5jXvRrXni3e&#10;kT/4YqTV+cHBCPxkkN+BzTPtcCt+o853jcf467f3+vnvs/wBAAD//wMAUEsDBBQABgAIAAAAIQBn&#10;ccs62gAAAAQBAAAPAAAAZHJzL2Rvd25yZXYueG1sTI/NTsMwEITvSLyDtUi9UYeoRFWIU1X0R1wJ&#10;SHB04m0cNV6HrNumb4/hApeVRjOa+bZYTa4XZxy586TgYZ6AQGq86ahV8P62u1+C4KDJ6N4TKrgi&#10;w6q8vSl0bvyFXvFchVbEEuJcK7AhDLmU3Fh0mud+QIrewY9OhyjHVppRX2K562WaJJl0uqO4YPWA&#10;zxabY3VyCrLNfm2Hj+zz65DyC9f+GCq/VWp2N62fQAScwl8YfvAjOpSRqfYnMix6BfGR8Hujl6bL&#10;DESt4HGxAFkW8j98+Q0AAP//AwBQSwECLQAUAAYACAAAACEAtoM4kv4AAADhAQAAEwAAAAAAAAAA&#10;AAAAAAAAAAAAW0NvbnRlbnRfVHlwZXNdLnhtbFBLAQItABQABgAIAAAAIQA4/SH/1gAAAJQBAAAL&#10;AAAAAAAAAAAAAAAAAC8BAABfcmVscy8ucmVsc1BLAQItABQABgAIAAAAIQDxqn7afQIAAMUEAAAO&#10;AAAAAAAAAAAAAAAAAC4CAABkcnMvZTJvRG9jLnhtbFBLAQItABQABgAIAAAAIQBnccs62gAAAAQB&#10;AAAPAAAAAAAAAAAAAAAAANcEAABkcnMvZG93bnJldi54bWxQSwUGAAAAAAQABADzAAAA3gUAAAAA&#10;" filled="f" stroked="f">
              <v:textbox style="mso-fit-shape-to-text:t" inset="20pt,0,0,15pt">
                <w:txbxContent>
                  <w:p w14:paraId="13591BC4" w14:textId="71797570" w:rsidR="002302E1" w:rsidRPr="002302E1" w:rsidRDefault="002302E1" w:rsidP="002302E1">
                    <w:pPr>
                      <w:rPr>
                        <w:rFonts w:ascii="Aptos" w:eastAsia="Aptos" w:hAnsi="Aptos" w:cs="Aptos"/>
                        <w:noProof/>
                        <w:color w:val="000000"/>
                        <w:sz w:val="20"/>
                        <w:szCs w:val="20"/>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6BC725" w14:textId="74B90980" w:rsidR="002302E1" w:rsidRDefault="002302E1">
    <w:pPr>
      <w:pStyle w:val="af"/>
    </w:pPr>
    <w:r>
      <w:rPr>
        <w:noProof/>
        <w14:ligatures w14:val="standardContextual"/>
      </w:rPr>
      <mc:AlternateContent>
        <mc:Choice Requires="wps">
          <w:drawing>
            <wp:anchor distT="0" distB="0" distL="0" distR="0" simplePos="0" relativeHeight="251658240" behindDoc="0" locked="0" layoutInCell="1" allowOverlap="1" wp14:anchorId="79AE56DA" wp14:editId="6008A619">
              <wp:simplePos x="635" y="635"/>
              <wp:positionH relativeFrom="page">
                <wp:align>left</wp:align>
              </wp:positionH>
              <wp:positionV relativeFrom="page">
                <wp:align>bottom</wp:align>
              </wp:positionV>
              <wp:extent cx="1451610" cy="345440"/>
              <wp:effectExtent l="0" t="0" r="8890" b="0"/>
              <wp:wrapNone/>
              <wp:docPr id="216296382" name="Text Box 1" descr="St. Jude - Confidential">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1451610" cy="345440"/>
                      </a:xfrm>
                      <a:prstGeom prst="rect">
                        <a:avLst/>
                      </a:prstGeom>
                      <a:noFill/>
                      <a:ln>
                        <a:noFill/>
                      </a:ln>
                    </wps:spPr>
                    <wps:txbx>
                      <w:txbxContent>
                        <w:p w14:paraId="58945FEC" w14:textId="4F30B57A" w:rsidR="002302E1" w:rsidRPr="002302E1" w:rsidRDefault="002302E1" w:rsidP="002302E1">
                          <w:pPr>
                            <w:rPr>
                              <w:rFonts w:ascii="Aptos" w:eastAsia="Aptos" w:hAnsi="Aptos" w:cs="Aptos"/>
                              <w:noProof/>
                              <w:color w:val="000000"/>
                              <w:sz w:val="20"/>
                              <w:szCs w:val="20"/>
                            </w:rPr>
                          </w:pPr>
                          <w:r w:rsidRPr="002302E1">
                            <w:rPr>
                              <w:rFonts w:ascii="Aptos" w:eastAsia="Aptos" w:hAnsi="Aptos" w:cs="Aptos"/>
                              <w:noProof/>
                              <w:color w:val="000000"/>
                              <w:sz w:val="20"/>
                              <w:szCs w:val="20"/>
                            </w:rPr>
                            <w:t>St. Jude - Confidential</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79AE56DA" id="_x0000_t202" coordsize="21600,21600" o:spt="202" path="m,l,21600r21600,l21600,xe">
              <v:stroke joinstyle="miter"/>
              <v:path gradientshapeok="t" o:connecttype="rect"/>
            </v:shapetype>
            <v:shape id="Text Box 1" o:spid="_x0000_s1028" type="#_x0000_t202" alt="St. Jude - Confidential" style="position:absolute;margin-left:0;margin-top:0;width:114.3pt;height:27.2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1Q4fQIAAMQEAAAOAAAAZHJzL2Uyb0RvYy54bWysVN1v2jAQf5+0/8HyO+SjgVJEqFJopk2o&#10;rQRTn43jQKTEtmzThE3933fnkG7r9jTtxVzu83e/u2Nx2zU1eRHGVkqmNBqHlAjJVVHJQ0q/7vLR&#10;jBLrmCxYraRI6VlYerv8+GHR6rmI1VHVhTAEkkg7b3VKj87peRBYfhQNs2OlhQRjqUzDHHyaQ1AY&#10;1kL2pg7iMJwGrTKFNooLa0G77o106fOXpeDusSytcKROKWBz/jX+3eMbLBdsfjBMHyt+gcH+AUXD&#10;KglF31KtmWPkZKo/UjUVN8qq0o25agJVlhUXvgfoJgrfdbM9Mi18L0CO1W802f+Xlj+8PBlSFSmN&#10;o2l8M72axZRI1sCodqJz5E51JKKkEJYDa1s3Jl9OhSAjslKyrAohXcVq3zl4b6xDDjDO9/59kt0n&#10;UZ7Fo1WY56MkuQ5HN3frZDTJs/Uqm12v7u7jV5xB4KN8fNBqO/ewcIhe3GrA6DrAAiuG7qi3oMRq&#10;XWka/AUuCdhhyOe3wSISjkHJJJpGYOJgu0omSeInD1WHaG2s+yRUQ1BIqYHF8V2xFwDVAxxcsJhU&#10;eVXXfnlq+ZsCcqLGd9FDRLCu23c9ywP8vSrO0JVR/UpazfMKSm+YdU/MwA4CWrgr9whPWas2peoi&#10;UXJU5tvf9OgPqwFWSlrY6ZRKODpK6s8SViaeJGGIN+C/QDCDsPdCdBNO0C5PzUrBucDYAZUX0dnV&#10;g1ga1TzD2WVYDUxMcqiZ0v0grlx/YXC2XGSZd4J118xt5FZzTI2cIaG77pkZfWHdwbwe1LD1bP6O&#10;/N4XI63OTg5G4CeD/PZsXmiHU/EbdTlrvMVfv73Xzz+f5Q8AAAD//wMAUEsDBBQABgAIAAAAIQBn&#10;ccs62gAAAAQBAAAPAAAAZHJzL2Rvd25yZXYueG1sTI/NTsMwEITvSLyDtUi9UYeoRFWIU1X0R1wJ&#10;SHB04m0cNV6HrNumb4/hApeVRjOa+bZYTa4XZxy586TgYZ6AQGq86ahV8P62u1+C4KDJ6N4TKrgi&#10;w6q8vSl0bvyFXvFchVbEEuJcK7AhDLmU3Fh0mud+QIrewY9OhyjHVppRX2K562WaJJl0uqO4YPWA&#10;zxabY3VyCrLNfm2Hj+zz65DyC9f+GCq/VWp2N62fQAScwl8YfvAjOpSRqfYnMix6BfGR8Hujl6bL&#10;DESt4HGxAFkW8j98+Q0AAP//AwBQSwECLQAUAAYACAAAACEAtoM4kv4AAADhAQAAEwAAAAAAAAAA&#10;AAAAAAAAAAAAW0NvbnRlbnRfVHlwZXNdLnhtbFBLAQItABQABgAIAAAAIQA4/SH/1gAAAJQBAAAL&#10;AAAAAAAAAAAAAAAAAC8BAABfcmVscy8ucmVsc1BLAQItABQABgAIAAAAIQCJx1Q4fQIAAMQEAAAO&#10;AAAAAAAAAAAAAAAAAC4CAABkcnMvZTJvRG9jLnhtbFBLAQItABQABgAIAAAAIQBnccs62gAAAAQB&#10;AAAPAAAAAAAAAAAAAAAAANcEAABkcnMvZG93bnJldi54bWxQSwUGAAAAAAQABADzAAAA3gUAAAAA&#10;" filled="f" stroked="f">
              <v:textbox style="mso-fit-shape-to-text:t" inset="20pt,0,0,15pt">
                <w:txbxContent>
                  <w:p w14:paraId="58945FEC" w14:textId="4F30B57A" w:rsidR="002302E1" w:rsidRPr="002302E1" w:rsidRDefault="002302E1" w:rsidP="002302E1">
                    <w:pPr>
                      <w:rPr>
                        <w:rFonts w:ascii="Aptos" w:eastAsia="Aptos" w:hAnsi="Aptos" w:cs="Aptos"/>
                        <w:noProof/>
                        <w:color w:val="000000"/>
                        <w:sz w:val="20"/>
                        <w:szCs w:val="20"/>
                      </w:rPr>
                    </w:pPr>
                    <w:r w:rsidRPr="002302E1">
                      <w:rPr>
                        <w:rFonts w:ascii="Aptos" w:eastAsia="Aptos" w:hAnsi="Aptos" w:cs="Aptos"/>
                        <w:noProof/>
                        <w:color w:val="000000"/>
                        <w:sz w:val="20"/>
                        <w:szCs w:val="20"/>
                      </w:rPr>
                      <w:t>St. Jude - Confidential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20AA87" w14:textId="77777777" w:rsidR="008849BD" w:rsidRDefault="008849BD" w:rsidP="002302E1">
      <w:r>
        <w:separator/>
      </w:r>
    </w:p>
  </w:footnote>
  <w:footnote w:type="continuationSeparator" w:id="0">
    <w:p w14:paraId="6364868C" w14:textId="77777777" w:rsidR="008849BD" w:rsidRDefault="008849BD" w:rsidP="002302E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3003DF4"/>
    <w:multiLevelType w:val="multilevel"/>
    <w:tmpl w:val="12B04C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9928335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302E1"/>
    <w:rsid w:val="00002F0B"/>
    <w:rsid w:val="00012039"/>
    <w:rsid w:val="000137A5"/>
    <w:rsid w:val="00024656"/>
    <w:rsid w:val="00035BBC"/>
    <w:rsid w:val="00053C63"/>
    <w:rsid w:val="000562D7"/>
    <w:rsid w:val="0005718A"/>
    <w:rsid w:val="00060C4E"/>
    <w:rsid w:val="000636B1"/>
    <w:rsid w:val="000640E0"/>
    <w:rsid w:val="00077CEA"/>
    <w:rsid w:val="00083F59"/>
    <w:rsid w:val="000945B6"/>
    <w:rsid w:val="00095897"/>
    <w:rsid w:val="000A3BBC"/>
    <w:rsid w:val="000A5FE3"/>
    <w:rsid w:val="000B6FB7"/>
    <w:rsid w:val="000D2E9E"/>
    <w:rsid w:val="000E1B56"/>
    <w:rsid w:val="0010424B"/>
    <w:rsid w:val="0011557B"/>
    <w:rsid w:val="001161F9"/>
    <w:rsid w:val="001246D1"/>
    <w:rsid w:val="00133B7B"/>
    <w:rsid w:val="00141AD3"/>
    <w:rsid w:val="00144257"/>
    <w:rsid w:val="001503CC"/>
    <w:rsid w:val="00150F86"/>
    <w:rsid w:val="001554F5"/>
    <w:rsid w:val="00157D75"/>
    <w:rsid w:val="00162C0C"/>
    <w:rsid w:val="00180029"/>
    <w:rsid w:val="00190855"/>
    <w:rsid w:val="00194D1A"/>
    <w:rsid w:val="001C1516"/>
    <w:rsid w:val="001D4D45"/>
    <w:rsid w:val="001D7D85"/>
    <w:rsid w:val="001E44BD"/>
    <w:rsid w:val="001E4CBD"/>
    <w:rsid w:val="00207AD0"/>
    <w:rsid w:val="0021307A"/>
    <w:rsid w:val="002221EF"/>
    <w:rsid w:val="00227DD1"/>
    <w:rsid w:val="002302E1"/>
    <w:rsid w:val="00232986"/>
    <w:rsid w:val="00236246"/>
    <w:rsid w:val="00256A2F"/>
    <w:rsid w:val="00262FD2"/>
    <w:rsid w:val="00265D49"/>
    <w:rsid w:val="0026736A"/>
    <w:rsid w:val="0029312A"/>
    <w:rsid w:val="00293D93"/>
    <w:rsid w:val="002A40AA"/>
    <w:rsid w:val="002A6C8C"/>
    <w:rsid w:val="002B02BA"/>
    <w:rsid w:val="002B1D7E"/>
    <w:rsid w:val="002F244F"/>
    <w:rsid w:val="00334D57"/>
    <w:rsid w:val="00335E8C"/>
    <w:rsid w:val="0033773B"/>
    <w:rsid w:val="00345F75"/>
    <w:rsid w:val="003517B1"/>
    <w:rsid w:val="00364BCA"/>
    <w:rsid w:val="00376093"/>
    <w:rsid w:val="003800F1"/>
    <w:rsid w:val="003829BF"/>
    <w:rsid w:val="003866FA"/>
    <w:rsid w:val="0039357B"/>
    <w:rsid w:val="00395161"/>
    <w:rsid w:val="00395629"/>
    <w:rsid w:val="003A28A3"/>
    <w:rsid w:val="003C4E22"/>
    <w:rsid w:val="003D0DA3"/>
    <w:rsid w:val="003D1651"/>
    <w:rsid w:val="003D1CE4"/>
    <w:rsid w:val="003D260F"/>
    <w:rsid w:val="003D480C"/>
    <w:rsid w:val="003E0699"/>
    <w:rsid w:val="003E4A26"/>
    <w:rsid w:val="003F140C"/>
    <w:rsid w:val="003F3219"/>
    <w:rsid w:val="00405DCB"/>
    <w:rsid w:val="00410711"/>
    <w:rsid w:val="004170F1"/>
    <w:rsid w:val="004223F1"/>
    <w:rsid w:val="00424853"/>
    <w:rsid w:val="00431D61"/>
    <w:rsid w:val="00434356"/>
    <w:rsid w:val="0043554D"/>
    <w:rsid w:val="00447A88"/>
    <w:rsid w:val="00453F49"/>
    <w:rsid w:val="00481EB1"/>
    <w:rsid w:val="0048539D"/>
    <w:rsid w:val="004A3C72"/>
    <w:rsid w:val="004A7732"/>
    <w:rsid w:val="004A7B43"/>
    <w:rsid w:val="004B1577"/>
    <w:rsid w:val="004B7E2D"/>
    <w:rsid w:val="004C1265"/>
    <w:rsid w:val="004D1008"/>
    <w:rsid w:val="005030EE"/>
    <w:rsid w:val="0050453D"/>
    <w:rsid w:val="005047BF"/>
    <w:rsid w:val="005058E6"/>
    <w:rsid w:val="00513590"/>
    <w:rsid w:val="005211D3"/>
    <w:rsid w:val="005238AE"/>
    <w:rsid w:val="005415C9"/>
    <w:rsid w:val="00551B32"/>
    <w:rsid w:val="00552C84"/>
    <w:rsid w:val="00556354"/>
    <w:rsid w:val="005568E2"/>
    <w:rsid w:val="0056145A"/>
    <w:rsid w:val="005653AD"/>
    <w:rsid w:val="00575020"/>
    <w:rsid w:val="00577A39"/>
    <w:rsid w:val="0058738F"/>
    <w:rsid w:val="00597A6B"/>
    <w:rsid w:val="005B41F4"/>
    <w:rsid w:val="005C1A88"/>
    <w:rsid w:val="005C2412"/>
    <w:rsid w:val="005C4961"/>
    <w:rsid w:val="005C64F6"/>
    <w:rsid w:val="005C6A57"/>
    <w:rsid w:val="005D30C7"/>
    <w:rsid w:val="005E1A00"/>
    <w:rsid w:val="005F7BE2"/>
    <w:rsid w:val="00621261"/>
    <w:rsid w:val="006250F8"/>
    <w:rsid w:val="00625996"/>
    <w:rsid w:val="00625AAA"/>
    <w:rsid w:val="00630150"/>
    <w:rsid w:val="00637D9C"/>
    <w:rsid w:val="00641383"/>
    <w:rsid w:val="006469DC"/>
    <w:rsid w:val="0065453F"/>
    <w:rsid w:val="00663A14"/>
    <w:rsid w:val="00663CB9"/>
    <w:rsid w:val="00666293"/>
    <w:rsid w:val="00676977"/>
    <w:rsid w:val="0068472E"/>
    <w:rsid w:val="006851A5"/>
    <w:rsid w:val="00690939"/>
    <w:rsid w:val="006A3EFE"/>
    <w:rsid w:val="006A74B1"/>
    <w:rsid w:val="006B0C71"/>
    <w:rsid w:val="006E635D"/>
    <w:rsid w:val="006E6C73"/>
    <w:rsid w:val="006F0130"/>
    <w:rsid w:val="006F4E4A"/>
    <w:rsid w:val="00704D66"/>
    <w:rsid w:val="00717679"/>
    <w:rsid w:val="00721FAD"/>
    <w:rsid w:val="00722B6B"/>
    <w:rsid w:val="007457FE"/>
    <w:rsid w:val="00753EE0"/>
    <w:rsid w:val="00763987"/>
    <w:rsid w:val="00763DA4"/>
    <w:rsid w:val="007670B9"/>
    <w:rsid w:val="007678A4"/>
    <w:rsid w:val="00771CF1"/>
    <w:rsid w:val="00787AA6"/>
    <w:rsid w:val="007942E0"/>
    <w:rsid w:val="007A266D"/>
    <w:rsid w:val="007A4245"/>
    <w:rsid w:val="00807D37"/>
    <w:rsid w:val="00810161"/>
    <w:rsid w:val="0084573F"/>
    <w:rsid w:val="0084630F"/>
    <w:rsid w:val="008615B0"/>
    <w:rsid w:val="0086223D"/>
    <w:rsid w:val="0086791C"/>
    <w:rsid w:val="00871E0F"/>
    <w:rsid w:val="00872B02"/>
    <w:rsid w:val="0088142D"/>
    <w:rsid w:val="00884901"/>
    <w:rsid w:val="008849BD"/>
    <w:rsid w:val="00892CA2"/>
    <w:rsid w:val="00892FC0"/>
    <w:rsid w:val="00894205"/>
    <w:rsid w:val="008B1155"/>
    <w:rsid w:val="008B1A43"/>
    <w:rsid w:val="008B7EFF"/>
    <w:rsid w:val="008D3B44"/>
    <w:rsid w:val="008E0EC0"/>
    <w:rsid w:val="009022BC"/>
    <w:rsid w:val="00926D9C"/>
    <w:rsid w:val="00941220"/>
    <w:rsid w:val="009500D5"/>
    <w:rsid w:val="0097247F"/>
    <w:rsid w:val="00980CC9"/>
    <w:rsid w:val="00992240"/>
    <w:rsid w:val="0099268A"/>
    <w:rsid w:val="009A6283"/>
    <w:rsid w:val="009B1DE5"/>
    <w:rsid w:val="009B677D"/>
    <w:rsid w:val="009C2E9E"/>
    <w:rsid w:val="009C63E4"/>
    <w:rsid w:val="00A32B7D"/>
    <w:rsid w:val="00A35BB5"/>
    <w:rsid w:val="00A54CF5"/>
    <w:rsid w:val="00A649D5"/>
    <w:rsid w:val="00A713D1"/>
    <w:rsid w:val="00A85AEA"/>
    <w:rsid w:val="00A9438D"/>
    <w:rsid w:val="00AA73AA"/>
    <w:rsid w:val="00AB45EF"/>
    <w:rsid w:val="00AB6FEA"/>
    <w:rsid w:val="00AC6C8F"/>
    <w:rsid w:val="00AF1963"/>
    <w:rsid w:val="00AF6CA2"/>
    <w:rsid w:val="00B07AA8"/>
    <w:rsid w:val="00B10BB7"/>
    <w:rsid w:val="00B1217E"/>
    <w:rsid w:val="00B212CB"/>
    <w:rsid w:val="00B5221A"/>
    <w:rsid w:val="00B53E51"/>
    <w:rsid w:val="00B84185"/>
    <w:rsid w:val="00B85A9F"/>
    <w:rsid w:val="00BA3EDF"/>
    <w:rsid w:val="00BA5FE6"/>
    <w:rsid w:val="00BB511E"/>
    <w:rsid w:val="00BC1AA7"/>
    <w:rsid w:val="00BC1F00"/>
    <w:rsid w:val="00BC4727"/>
    <w:rsid w:val="00BE1CB9"/>
    <w:rsid w:val="00BE2DF1"/>
    <w:rsid w:val="00BE4A1E"/>
    <w:rsid w:val="00BF63BB"/>
    <w:rsid w:val="00C13F70"/>
    <w:rsid w:val="00C16032"/>
    <w:rsid w:val="00C16CB5"/>
    <w:rsid w:val="00C2205E"/>
    <w:rsid w:val="00C340F3"/>
    <w:rsid w:val="00C74E54"/>
    <w:rsid w:val="00C7785A"/>
    <w:rsid w:val="00C81268"/>
    <w:rsid w:val="00C9044F"/>
    <w:rsid w:val="00C910D0"/>
    <w:rsid w:val="00CD4604"/>
    <w:rsid w:val="00CE1574"/>
    <w:rsid w:val="00CE4C2C"/>
    <w:rsid w:val="00CE4D03"/>
    <w:rsid w:val="00CF310A"/>
    <w:rsid w:val="00D003EC"/>
    <w:rsid w:val="00D20F30"/>
    <w:rsid w:val="00D2733C"/>
    <w:rsid w:val="00D27F7A"/>
    <w:rsid w:val="00D372A3"/>
    <w:rsid w:val="00D41B10"/>
    <w:rsid w:val="00D44790"/>
    <w:rsid w:val="00D5049D"/>
    <w:rsid w:val="00D5462E"/>
    <w:rsid w:val="00D62A44"/>
    <w:rsid w:val="00D64F90"/>
    <w:rsid w:val="00D81E53"/>
    <w:rsid w:val="00D8450F"/>
    <w:rsid w:val="00D8707E"/>
    <w:rsid w:val="00D911D6"/>
    <w:rsid w:val="00D94703"/>
    <w:rsid w:val="00DA12C4"/>
    <w:rsid w:val="00DA6694"/>
    <w:rsid w:val="00DC3C2E"/>
    <w:rsid w:val="00DD3338"/>
    <w:rsid w:val="00DE21A9"/>
    <w:rsid w:val="00DE5A1D"/>
    <w:rsid w:val="00DE5D99"/>
    <w:rsid w:val="00E077CB"/>
    <w:rsid w:val="00E16964"/>
    <w:rsid w:val="00E16E35"/>
    <w:rsid w:val="00E728A3"/>
    <w:rsid w:val="00E754C1"/>
    <w:rsid w:val="00E97B86"/>
    <w:rsid w:val="00EA2857"/>
    <w:rsid w:val="00EA54BE"/>
    <w:rsid w:val="00EB6744"/>
    <w:rsid w:val="00EE1FDE"/>
    <w:rsid w:val="00EF1DCB"/>
    <w:rsid w:val="00F039BF"/>
    <w:rsid w:val="00F11042"/>
    <w:rsid w:val="00F14406"/>
    <w:rsid w:val="00F233E9"/>
    <w:rsid w:val="00F5731E"/>
    <w:rsid w:val="00F66EF2"/>
    <w:rsid w:val="00F924BE"/>
    <w:rsid w:val="00F938AF"/>
    <w:rsid w:val="00F965F8"/>
    <w:rsid w:val="00FB2391"/>
    <w:rsid w:val="00FB7597"/>
    <w:rsid w:val="00FD79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3777867"/>
  <w15:chartTrackingRefBased/>
  <w15:docId w15:val="{A1064225-A279-E340-AA54-AD988EEB3E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8539D"/>
    <w:pPr>
      <w:spacing w:after="0" w:line="240" w:lineRule="auto"/>
    </w:pPr>
    <w:rPr>
      <w:rFonts w:ascii="Times New Roman" w:eastAsia="Times New Roman" w:hAnsi="Times New Roman" w:cs="Times New Roman"/>
      <w:kern w:val="0"/>
      <w14:ligatures w14:val="none"/>
    </w:rPr>
  </w:style>
  <w:style w:type="paragraph" w:styleId="1">
    <w:name w:val="heading 1"/>
    <w:basedOn w:val="a"/>
    <w:next w:val="a"/>
    <w:link w:val="10"/>
    <w:uiPriority w:val="9"/>
    <w:qFormat/>
    <w:rsid w:val="002302E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2">
    <w:name w:val="heading 2"/>
    <w:basedOn w:val="a"/>
    <w:next w:val="a"/>
    <w:link w:val="20"/>
    <w:uiPriority w:val="9"/>
    <w:semiHidden/>
    <w:unhideWhenUsed/>
    <w:qFormat/>
    <w:rsid w:val="002302E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3">
    <w:name w:val="heading 3"/>
    <w:basedOn w:val="a"/>
    <w:next w:val="a"/>
    <w:link w:val="30"/>
    <w:uiPriority w:val="9"/>
    <w:semiHidden/>
    <w:unhideWhenUsed/>
    <w:qFormat/>
    <w:rsid w:val="002302E1"/>
    <w:pPr>
      <w:keepNext/>
      <w:keepLines/>
      <w:spacing w:before="160" w:after="80"/>
      <w:outlineLvl w:val="2"/>
    </w:pPr>
    <w:rPr>
      <w:rFonts w:eastAsiaTheme="majorEastAsia" w:cstheme="majorBidi"/>
      <w:color w:val="0F4761" w:themeColor="accent1" w:themeShade="BF"/>
      <w:sz w:val="28"/>
      <w:szCs w:val="28"/>
    </w:rPr>
  </w:style>
  <w:style w:type="paragraph" w:styleId="4">
    <w:name w:val="heading 4"/>
    <w:basedOn w:val="a"/>
    <w:next w:val="a"/>
    <w:link w:val="40"/>
    <w:uiPriority w:val="9"/>
    <w:semiHidden/>
    <w:unhideWhenUsed/>
    <w:qFormat/>
    <w:rsid w:val="002302E1"/>
    <w:pPr>
      <w:keepNext/>
      <w:keepLines/>
      <w:spacing w:before="80" w:after="40"/>
      <w:outlineLvl w:val="3"/>
    </w:pPr>
    <w:rPr>
      <w:rFonts w:eastAsiaTheme="majorEastAsia" w:cstheme="majorBidi"/>
      <w:i/>
      <w:iCs/>
      <w:color w:val="0F4761" w:themeColor="accent1" w:themeShade="BF"/>
    </w:rPr>
  </w:style>
  <w:style w:type="paragraph" w:styleId="5">
    <w:name w:val="heading 5"/>
    <w:basedOn w:val="a"/>
    <w:next w:val="a"/>
    <w:link w:val="50"/>
    <w:uiPriority w:val="9"/>
    <w:semiHidden/>
    <w:unhideWhenUsed/>
    <w:qFormat/>
    <w:rsid w:val="002302E1"/>
    <w:pPr>
      <w:keepNext/>
      <w:keepLines/>
      <w:spacing w:before="80" w:after="40"/>
      <w:outlineLvl w:val="4"/>
    </w:pPr>
    <w:rPr>
      <w:rFonts w:eastAsiaTheme="majorEastAsia" w:cstheme="majorBidi"/>
      <w:color w:val="0F4761" w:themeColor="accent1" w:themeShade="BF"/>
    </w:rPr>
  </w:style>
  <w:style w:type="paragraph" w:styleId="6">
    <w:name w:val="heading 6"/>
    <w:basedOn w:val="a"/>
    <w:next w:val="a"/>
    <w:link w:val="60"/>
    <w:uiPriority w:val="9"/>
    <w:semiHidden/>
    <w:unhideWhenUsed/>
    <w:qFormat/>
    <w:rsid w:val="002302E1"/>
    <w:pPr>
      <w:keepNext/>
      <w:keepLines/>
      <w:spacing w:before="4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2302E1"/>
    <w:pPr>
      <w:keepNext/>
      <w:keepLines/>
      <w:spacing w:before="4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2302E1"/>
    <w:pPr>
      <w:keepNext/>
      <w:keepLines/>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2302E1"/>
    <w:pPr>
      <w:keepNext/>
      <w:keepLines/>
      <w:outlineLvl w:val="8"/>
    </w:pPr>
    <w:rPr>
      <w:rFonts w:eastAsiaTheme="majorEastAsia" w:cstheme="majorBidi"/>
      <w:color w:val="272727" w:themeColor="text1" w:themeTint="D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2302E1"/>
    <w:rPr>
      <w:rFonts w:asciiTheme="majorHAnsi" w:eastAsiaTheme="majorEastAsia" w:hAnsiTheme="majorHAnsi" w:cstheme="majorBidi"/>
      <w:color w:val="0F4761" w:themeColor="accent1" w:themeShade="BF"/>
      <w:sz w:val="40"/>
      <w:szCs w:val="40"/>
    </w:rPr>
  </w:style>
  <w:style w:type="character" w:customStyle="1" w:styleId="20">
    <w:name w:val="标题 2 字符"/>
    <w:basedOn w:val="a0"/>
    <w:link w:val="2"/>
    <w:uiPriority w:val="9"/>
    <w:semiHidden/>
    <w:rsid w:val="002302E1"/>
    <w:rPr>
      <w:rFonts w:asciiTheme="majorHAnsi" w:eastAsiaTheme="majorEastAsia" w:hAnsiTheme="majorHAnsi" w:cstheme="majorBidi"/>
      <w:color w:val="0F4761" w:themeColor="accent1" w:themeShade="BF"/>
      <w:sz w:val="32"/>
      <w:szCs w:val="32"/>
    </w:rPr>
  </w:style>
  <w:style w:type="character" w:customStyle="1" w:styleId="30">
    <w:name w:val="标题 3 字符"/>
    <w:basedOn w:val="a0"/>
    <w:link w:val="3"/>
    <w:uiPriority w:val="9"/>
    <w:semiHidden/>
    <w:rsid w:val="002302E1"/>
    <w:rPr>
      <w:rFonts w:eastAsiaTheme="majorEastAsia" w:cstheme="majorBidi"/>
      <w:color w:val="0F4761" w:themeColor="accent1" w:themeShade="BF"/>
      <w:sz w:val="28"/>
      <w:szCs w:val="28"/>
    </w:rPr>
  </w:style>
  <w:style w:type="character" w:customStyle="1" w:styleId="40">
    <w:name w:val="标题 4 字符"/>
    <w:basedOn w:val="a0"/>
    <w:link w:val="4"/>
    <w:uiPriority w:val="9"/>
    <w:semiHidden/>
    <w:rsid w:val="002302E1"/>
    <w:rPr>
      <w:rFonts w:eastAsiaTheme="majorEastAsia" w:cstheme="majorBidi"/>
      <w:i/>
      <w:iCs/>
      <w:color w:val="0F4761" w:themeColor="accent1" w:themeShade="BF"/>
    </w:rPr>
  </w:style>
  <w:style w:type="character" w:customStyle="1" w:styleId="50">
    <w:name w:val="标题 5 字符"/>
    <w:basedOn w:val="a0"/>
    <w:link w:val="5"/>
    <w:uiPriority w:val="9"/>
    <w:semiHidden/>
    <w:rsid w:val="002302E1"/>
    <w:rPr>
      <w:rFonts w:eastAsiaTheme="majorEastAsia" w:cstheme="majorBidi"/>
      <w:color w:val="0F4761" w:themeColor="accent1" w:themeShade="BF"/>
    </w:rPr>
  </w:style>
  <w:style w:type="character" w:customStyle="1" w:styleId="60">
    <w:name w:val="标题 6 字符"/>
    <w:basedOn w:val="a0"/>
    <w:link w:val="6"/>
    <w:uiPriority w:val="9"/>
    <w:semiHidden/>
    <w:rsid w:val="002302E1"/>
    <w:rPr>
      <w:rFonts w:eastAsiaTheme="majorEastAsia" w:cstheme="majorBidi"/>
      <w:i/>
      <w:iCs/>
      <w:color w:val="595959" w:themeColor="text1" w:themeTint="A6"/>
    </w:rPr>
  </w:style>
  <w:style w:type="character" w:customStyle="1" w:styleId="70">
    <w:name w:val="标题 7 字符"/>
    <w:basedOn w:val="a0"/>
    <w:link w:val="7"/>
    <w:uiPriority w:val="9"/>
    <w:semiHidden/>
    <w:rsid w:val="002302E1"/>
    <w:rPr>
      <w:rFonts w:eastAsiaTheme="majorEastAsia" w:cstheme="majorBidi"/>
      <w:color w:val="595959" w:themeColor="text1" w:themeTint="A6"/>
    </w:rPr>
  </w:style>
  <w:style w:type="character" w:customStyle="1" w:styleId="80">
    <w:name w:val="标题 8 字符"/>
    <w:basedOn w:val="a0"/>
    <w:link w:val="8"/>
    <w:uiPriority w:val="9"/>
    <w:semiHidden/>
    <w:rsid w:val="002302E1"/>
    <w:rPr>
      <w:rFonts w:eastAsiaTheme="majorEastAsia" w:cstheme="majorBidi"/>
      <w:i/>
      <w:iCs/>
      <w:color w:val="272727" w:themeColor="text1" w:themeTint="D8"/>
    </w:rPr>
  </w:style>
  <w:style w:type="character" w:customStyle="1" w:styleId="90">
    <w:name w:val="标题 9 字符"/>
    <w:basedOn w:val="a0"/>
    <w:link w:val="9"/>
    <w:uiPriority w:val="9"/>
    <w:semiHidden/>
    <w:rsid w:val="002302E1"/>
    <w:rPr>
      <w:rFonts w:eastAsiaTheme="majorEastAsia" w:cstheme="majorBidi"/>
      <w:color w:val="272727" w:themeColor="text1" w:themeTint="D8"/>
    </w:rPr>
  </w:style>
  <w:style w:type="paragraph" w:styleId="a3">
    <w:name w:val="Title"/>
    <w:basedOn w:val="a"/>
    <w:next w:val="a"/>
    <w:link w:val="a4"/>
    <w:uiPriority w:val="10"/>
    <w:qFormat/>
    <w:rsid w:val="002302E1"/>
    <w:pPr>
      <w:spacing w:after="80"/>
      <w:contextualSpacing/>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2302E1"/>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2302E1"/>
    <w:pPr>
      <w:numPr>
        <w:ilvl w:val="1"/>
      </w:numPr>
    </w:pPr>
    <w:rPr>
      <w:rFonts w:eastAsiaTheme="majorEastAsia" w:cstheme="majorBidi"/>
      <w:color w:val="595959" w:themeColor="text1" w:themeTint="A6"/>
      <w:spacing w:val="15"/>
      <w:sz w:val="28"/>
      <w:szCs w:val="28"/>
    </w:rPr>
  </w:style>
  <w:style w:type="character" w:customStyle="1" w:styleId="a6">
    <w:name w:val="副标题 字符"/>
    <w:basedOn w:val="a0"/>
    <w:link w:val="a5"/>
    <w:uiPriority w:val="11"/>
    <w:rsid w:val="002302E1"/>
    <w:rPr>
      <w:rFonts w:eastAsiaTheme="majorEastAsia" w:cstheme="majorBidi"/>
      <w:color w:val="595959" w:themeColor="text1" w:themeTint="A6"/>
      <w:spacing w:val="15"/>
      <w:sz w:val="28"/>
      <w:szCs w:val="28"/>
    </w:rPr>
  </w:style>
  <w:style w:type="paragraph" w:styleId="a7">
    <w:name w:val="Quote"/>
    <w:basedOn w:val="a"/>
    <w:next w:val="a"/>
    <w:link w:val="a8"/>
    <w:uiPriority w:val="29"/>
    <w:qFormat/>
    <w:rsid w:val="002302E1"/>
    <w:pPr>
      <w:spacing w:before="160"/>
      <w:jc w:val="center"/>
    </w:pPr>
    <w:rPr>
      <w:i/>
      <w:iCs/>
      <w:color w:val="404040" w:themeColor="text1" w:themeTint="BF"/>
    </w:rPr>
  </w:style>
  <w:style w:type="character" w:customStyle="1" w:styleId="a8">
    <w:name w:val="引用 字符"/>
    <w:basedOn w:val="a0"/>
    <w:link w:val="a7"/>
    <w:uiPriority w:val="29"/>
    <w:rsid w:val="002302E1"/>
    <w:rPr>
      <w:i/>
      <w:iCs/>
      <w:color w:val="404040" w:themeColor="text1" w:themeTint="BF"/>
    </w:rPr>
  </w:style>
  <w:style w:type="paragraph" w:styleId="a9">
    <w:name w:val="List Paragraph"/>
    <w:basedOn w:val="a"/>
    <w:uiPriority w:val="34"/>
    <w:qFormat/>
    <w:rsid w:val="002302E1"/>
    <w:pPr>
      <w:ind w:left="720"/>
      <w:contextualSpacing/>
    </w:pPr>
  </w:style>
  <w:style w:type="character" w:styleId="aa">
    <w:name w:val="Intense Emphasis"/>
    <w:basedOn w:val="a0"/>
    <w:uiPriority w:val="21"/>
    <w:qFormat/>
    <w:rsid w:val="002302E1"/>
    <w:rPr>
      <w:i/>
      <w:iCs/>
      <w:color w:val="0F4761" w:themeColor="accent1" w:themeShade="BF"/>
    </w:rPr>
  </w:style>
  <w:style w:type="paragraph" w:styleId="ab">
    <w:name w:val="Intense Quote"/>
    <w:basedOn w:val="a"/>
    <w:next w:val="a"/>
    <w:link w:val="ac"/>
    <w:uiPriority w:val="30"/>
    <w:qFormat/>
    <w:rsid w:val="002302E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2302E1"/>
    <w:rPr>
      <w:i/>
      <w:iCs/>
      <w:color w:val="0F4761" w:themeColor="accent1" w:themeShade="BF"/>
    </w:rPr>
  </w:style>
  <w:style w:type="character" w:styleId="ad">
    <w:name w:val="Intense Reference"/>
    <w:basedOn w:val="a0"/>
    <w:uiPriority w:val="32"/>
    <w:qFormat/>
    <w:rsid w:val="002302E1"/>
    <w:rPr>
      <w:b/>
      <w:bCs/>
      <w:smallCaps/>
      <w:color w:val="0F4761" w:themeColor="accent1" w:themeShade="BF"/>
      <w:spacing w:val="5"/>
    </w:rPr>
  </w:style>
  <w:style w:type="paragraph" w:styleId="ae">
    <w:name w:val="Normal (Web)"/>
    <w:basedOn w:val="a"/>
    <w:uiPriority w:val="99"/>
    <w:semiHidden/>
    <w:unhideWhenUsed/>
    <w:rsid w:val="002302E1"/>
  </w:style>
  <w:style w:type="paragraph" w:styleId="af">
    <w:name w:val="footer"/>
    <w:basedOn w:val="a"/>
    <w:link w:val="af0"/>
    <w:uiPriority w:val="99"/>
    <w:unhideWhenUsed/>
    <w:rsid w:val="002302E1"/>
    <w:pPr>
      <w:tabs>
        <w:tab w:val="center" w:pos="4680"/>
        <w:tab w:val="right" w:pos="9360"/>
      </w:tabs>
    </w:pPr>
  </w:style>
  <w:style w:type="character" w:customStyle="1" w:styleId="af0">
    <w:name w:val="页脚 字符"/>
    <w:basedOn w:val="a0"/>
    <w:link w:val="af"/>
    <w:uiPriority w:val="99"/>
    <w:rsid w:val="002302E1"/>
    <w:rPr>
      <w:rFonts w:ascii="Times New Roman" w:eastAsia="Times New Roman" w:hAnsi="Times New Roman" w:cs="Times New Roman"/>
      <w:kern w:val="0"/>
      <w14:ligatures w14:val="none"/>
    </w:rPr>
  </w:style>
  <w:style w:type="character" w:styleId="HTML">
    <w:name w:val="HTML Code"/>
    <w:basedOn w:val="a0"/>
    <w:uiPriority w:val="99"/>
    <w:semiHidden/>
    <w:unhideWhenUsed/>
    <w:rsid w:val="004C1265"/>
    <w:rPr>
      <w:rFonts w:ascii="Courier New" w:eastAsia="Times New Roman" w:hAnsi="Courier New" w:cs="Courier New"/>
      <w:sz w:val="20"/>
      <w:szCs w:val="20"/>
    </w:rPr>
  </w:style>
  <w:style w:type="character" w:styleId="af1">
    <w:name w:val="Strong"/>
    <w:basedOn w:val="a0"/>
    <w:uiPriority w:val="22"/>
    <w:qFormat/>
    <w:rsid w:val="006E6C73"/>
    <w:rPr>
      <w:b/>
      <w:bCs/>
    </w:rPr>
  </w:style>
  <w:style w:type="table" w:styleId="af2">
    <w:name w:val="Table Grid"/>
    <w:basedOn w:val="a1"/>
    <w:uiPriority w:val="39"/>
    <w:rsid w:val="003D16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claude-response-body">
    <w:name w:val="font-claude-response-body"/>
    <w:basedOn w:val="a"/>
    <w:rsid w:val="00083F59"/>
    <w:pPr>
      <w:spacing w:before="100" w:beforeAutospacing="1" w:after="100" w:afterAutospacing="1"/>
    </w:pPr>
  </w:style>
  <w:style w:type="character" w:styleId="af3">
    <w:name w:val="Hyperlink"/>
    <w:basedOn w:val="a0"/>
    <w:uiPriority w:val="99"/>
    <w:unhideWhenUsed/>
    <w:rsid w:val="00E077CB"/>
    <w:rPr>
      <w:color w:val="467886" w:themeColor="hyperlink"/>
      <w:u w:val="single"/>
    </w:rPr>
  </w:style>
  <w:style w:type="character" w:styleId="af4">
    <w:name w:val="Unresolved Mention"/>
    <w:basedOn w:val="a0"/>
    <w:uiPriority w:val="99"/>
    <w:semiHidden/>
    <w:unhideWhenUsed/>
    <w:rsid w:val="00E077CB"/>
    <w:rPr>
      <w:color w:val="605E5C"/>
      <w:shd w:val="clear" w:color="auto" w:fill="E1DFDD"/>
    </w:rPr>
  </w:style>
  <w:style w:type="character" w:styleId="af5">
    <w:name w:val="FollowedHyperlink"/>
    <w:basedOn w:val="a0"/>
    <w:uiPriority w:val="99"/>
    <w:semiHidden/>
    <w:unhideWhenUsed/>
    <w:rsid w:val="00E077CB"/>
    <w:rPr>
      <w:color w:val="96607D" w:themeColor="followedHyperlink"/>
      <w:u w:val="single"/>
    </w:rPr>
  </w:style>
  <w:style w:type="paragraph" w:styleId="af6">
    <w:name w:val="header"/>
    <w:basedOn w:val="a"/>
    <w:link w:val="af7"/>
    <w:uiPriority w:val="99"/>
    <w:unhideWhenUsed/>
    <w:rsid w:val="00663CB9"/>
    <w:pPr>
      <w:pBdr>
        <w:bottom w:val="single" w:sz="6" w:space="1" w:color="auto"/>
      </w:pBdr>
      <w:tabs>
        <w:tab w:val="center" w:pos="4153"/>
        <w:tab w:val="right" w:pos="8306"/>
      </w:tabs>
      <w:snapToGrid w:val="0"/>
      <w:jc w:val="center"/>
    </w:pPr>
    <w:rPr>
      <w:sz w:val="18"/>
      <w:szCs w:val="18"/>
    </w:rPr>
  </w:style>
  <w:style w:type="character" w:customStyle="1" w:styleId="af7">
    <w:name w:val="页眉 字符"/>
    <w:basedOn w:val="a0"/>
    <w:link w:val="af6"/>
    <w:uiPriority w:val="99"/>
    <w:rsid w:val="00663CB9"/>
    <w:rPr>
      <w:rFonts w:ascii="Times New Roman" w:eastAsia="Times New Roman" w:hAnsi="Times New Roman" w:cs="Times New Roman"/>
      <w:kern w:val="0"/>
      <w:sz w:val="18"/>
      <w:szCs w:val="1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hyperlink" Target="https://sbeesett.github.io/Disease-Sunburst/" TargetMode="External"/><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8.jpeg"/><Relationship Id="rId10" Type="http://schemas.openxmlformats.org/officeDocument/2006/relationships/image" Target="media/image4.jpeg"/><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65ce1208-e929-4ec4-be64-9138d78922c0}" enabled="1" method="Standard" siteId="{22340fa8-9226-4871-b677-d3b3e377af72}" contentBits="2" removed="0"/>
</clbl:labelList>
</file>

<file path=docProps/app.xml><?xml version="1.0" encoding="utf-8"?>
<Properties xmlns="http://schemas.openxmlformats.org/officeDocument/2006/extended-properties" xmlns:vt="http://schemas.openxmlformats.org/officeDocument/2006/docPropsVTypes">
  <Template>Normal.dotm</Template>
  <TotalTime>7</TotalTime>
  <Pages>10</Pages>
  <Words>1710</Words>
  <Characters>11532</Characters>
  <Application>Microsoft Office Word</Application>
  <DocSecurity>0</DocSecurity>
  <Lines>177</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Kyle</cp:lastModifiedBy>
  <cp:revision>6</cp:revision>
  <dcterms:created xsi:type="dcterms:W3CDTF">2026-08-12T03:24:00Z</dcterms:created>
  <dcterms:modified xsi:type="dcterms:W3CDTF">2026-08-25T05:31:00Z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ce46bbe,40fdc69a,490bd6dd</vt:lpwstr>
  </property>
  <property fmtid="{D5CDD505-2E9C-101B-9397-08002B2CF9AE}" pid="3" name="ClassificationContentMarkingFooterFontProps">
    <vt:lpwstr>#000000,10,Aptos</vt:lpwstr>
  </property>
  <property fmtid="{D5CDD505-2E9C-101B-9397-08002B2CF9AE}" pid="4" name="ClassificationContentMarkingFooterText">
    <vt:lpwstr>St. Jude - Confidential</vt:lpwstr>
  </property>
  <property fmtid="{D5CDD505-2E9C-101B-9397-08002B2CF9AE}" pid="5" name="GrammarlyDocumentId">
    <vt:lpwstr>ece3ed6a-048c-4d63-a2ee-e09a55cfce4f</vt:lpwstr>
  </property>
</Properties>
</file>